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Medicine</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instrText>Medicine</w:instrText>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sidR="000A7384">
        <w:rPr>
          <w:rFonts w:cs="Arial"/>
          <w:color w:val="00A5B4"/>
          <w:sz w:val="32"/>
          <w:szCs w:val="32"/>
          <w:lang w:val="en-US"/>
        </w:rPr>
        <w:t xml:space="preserve">The </w:t>
      </w:r>
      <w:r w:rsidRPr="00841DF6">
        <w:rPr>
          <w:rFonts w:cs="Arial"/>
          <w:color w:val="00A5B4"/>
          <w:sz w:val="32"/>
          <w:szCs w:val="32"/>
          <w:lang w:val="en-US"/>
        </w:rPr>
        <w:t>Medicine</w:t>
      </w:r>
      <w:r w:rsidR="000C6C7C">
        <w:rPr>
          <w:rFonts w:cs="Arial"/>
          <w:color w:val="00A5B4"/>
          <w:sz w:val="32"/>
          <w:szCs w:val="32"/>
        </w:rPr>
        <w:t xml:space="preserve"> </w:t>
      </w:r>
      <w:r w:rsidRPr="00841DF6" w:rsidR="00E00864">
        <w:rPr>
          <w:rFonts w:cs="Arial"/>
          <w:color w:val="00A5B4"/>
          <w:sz w:val="32"/>
          <w:szCs w:val="32"/>
        </w:rPr>
        <w:t xml:space="preserve">Department </w:t>
      </w:r>
      <w:r w:rsidRPr="00841DF6" w:rsidR="000A7384">
        <w:rPr>
          <w:rFonts w:cs="Arial"/>
          <w:color w:val="00A5B4"/>
          <w:sz w:val="32"/>
          <w:szCs w:val="32"/>
        </w:rPr>
        <w:t>Presents</w:t>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Updates in Kidney Transplantation 2026</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April 10, 2026 </w:t>
      </w:r>
      <w:r w:rsidRPr="00841DF6">
        <w:rPr>
          <w:rFonts w:cs="Arial"/>
          <w:color w:val="00A5B4"/>
          <w:sz w:val="32"/>
          <w:szCs w:val="32"/>
        </w:rPr>
        <w:br/>
      </w:r>
      <w:r w:rsidRPr="00841DF6">
        <w:rPr>
          <w:rFonts w:cs="Arial"/>
          <w:color w:val="00A5B4"/>
          <w:sz w:val="32"/>
          <w:szCs w:val="32"/>
          <w:lang w:val="en-US"/>
        </w:rPr>
        <w:t xml:space="preserve">1:00 PM - </w:t>
      </w:r>
      <w:r w:rsidRPr="00841DF6">
        <w:rPr>
          <w:rFonts w:cs="Arial"/>
          <w:color w:val="00A5B4"/>
          <w:sz w:val="32"/>
          <w:szCs w:val="32"/>
          <w:lang w:val="en-US"/>
        </w:rPr>
        <w:t>12:00 PM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w:instrText>
      </w:r>
      <w:r w:rsidRPr="00841DF6">
        <w:rPr>
          <w:rFonts w:cs="Arial"/>
          <w:color w:val="00A5B4"/>
          <w:sz w:val="32"/>
          <w:szCs w:val="32"/>
          <w:lang w:val="en-US"/>
        </w:rPr>
        <w:instrText>The Westin Verasa Napa</w:instrText>
      </w:r>
      <w:r w:rsidRPr="00841DF6">
        <w:rPr>
          <w:rFonts w:cs="Arial"/>
          <w:color w:val="00A5B4"/>
          <w:sz w:val="32"/>
          <w:szCs w:val="32"/>
          <w:lang w:val="en-US"/>
        </w:rPr>
        <w:instrText>"</w:instrText>
      </w:r>
      <w:r w:rsidRPr="00841DF6">
        <w:rPr>
          <w:rFonts w:cs="Arial"/>
          <w:color w:val="00A5B4"/>
          <w:sz w:val="32"/>
          <w:szCs w:val="32"/>
          <w:lang w:val="en-US"/>
        </w:rPr>
        <w:instrText xml:space="preserve"> &lt;&gt; "" "</w:instrText>
      </w:r>
      <w:r w:rsidRPr="00841DF6">
        <w:rPr>
          <w:rFonts w:cs="Arial"/>
          <w:color w:val="00A5B4"/>
          <w:sz w:val="32"/>
          <w:szCs w:val="32"/>
          <w:lang w:val="en-US"/>
        </w:rPr>
        <w:instrText>The Westin Verasa Napa</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The Westin Verasa Napa</w:t>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r w:rsidRPr="00841DF6">
        <w:rPr>
          <w:rFonts w:cs="Arial"/>
          <w:color w:val="00A5B4"/>
          <w:sz w:val="32"/>
          <w:szCs w:val="32"/>
          <w:lang w:val="en-US" w:bidi="en-US"/>
        </w:rPr>
        <w:t>Chris Freise, MD; Flavio Vincenti, MD; Peter Stock, MD, PhD; Deborah B Adey, MD; Raja Rajalingam, PhD; Allison B Webber, MD; Garrett Roll, MD; Zoltan Laszik, MD, PhD; Paul Brakeman, MD, PhD; Amarpali Brar, MD; James M Gardner, MD, PhD; Charles Rickert, MD; Anatoly Urisman, MD, PhD; Pascale Khairallah, MD, MS; Justin Oveyssi, DO, MBA; Puneet Sood, MD, MPH</w:t>
      </w: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p>
    <w:p>
      <w:pPr>
        <w:bidi w:val="0"/>
        <w:spacing w:after="280" w:afterAutospacing="1"/>
        <w:rPr>
          <w:rtl w:val="0"/>
        </w:rPr>
      </w:pPr>
      <w:r>
        <w:rPr>
          <w:b/>
          <w:bCs/>
          <w:rtl w:val="0"/>
        </w:rPr>
        <w:instrText>UCSF Kidney Transplantation Update 2026</w:instrText>
      </w:r>
    </w:p>
    <w:p>
      <w:pPr>
        <w:bidi w:val="0"/>
        <w:spacing w:after="280" w:afterAutospacing="1"/>
        <w:rPr>
          <w:rtl w:val="0"/>
        </w:rPr>
      </w:pPr>
      <w:r>
        <w:rPr>
          <w:rtl w:val="0"/>
        </w:rPr>
        <w:instrText xml:space="preserve">We are delighted to invite you to the </w:instrText>
      </w:r>
      <w:r>
        <w:rPr>
          <w:b/>
          <w:bCs/>
          <w:rtl w:val="0"/>
        </w:rPr>
        <w:instrText>UCSF Kidney Transplantation Update 2026</w:instrText>
      </w:r>
      <w:r>
        <w:rPr>
          <w:rtl w:val="0"/>
        </w:rPr>
        <w:instrText>, a one-day continuing medical education (CME) program that has been a marquee event of the UCSF Kidney Transplant Program for more than two decades. Each year, this course brings together world-renowned transplant surgeons and nephrologists from UCSF to share the latest research, clinical advances, and practical insights in the dynamic field of kidney transplantation.</w:instrText>
      </w:r>
    </w:p>
    <w:p>
      <w:pPr>
        <w:bidi w:val="0"/>
        <w:spacing w:after="280" w:afterAutospacing="1"/>
        <w:rPr>
          <w:rtl w:val="0"/>
        </w:rPr>
      </w:pPr>
      <w:r>
        <w:rPr>
          <w:rtl w:val="0"/>
        </w:rPr>
        <w:instrText>The 2026 program will highlight today’s most pressing and “burning” issues in kidney transplantation. Through focused lectures and interactive discussions, our expert faculty will address innovations in immunosuppressive strategies, evolving approaches to highly sensitized patients, advances in living donor programs, new therapies in antibody-mediated rejection, and the role of emerging technologies in improving outcomes. Multidisciplinary aspects of care—including pharmacy, psychosocial support, and long-term management of transplant recipients—will also be emphasized, reflecting the comprehensive nature of transplantation.</w:instrText>
      </w:r>
    </w:p>
    <w:p>
      <w:pPr>
        <w:bidi w:val="0"/>
        <w:spacing w:after="280" w:afterAutospacing="1"/>
        <w:rPr>
          <w:rtl w:val="0"/>
        </w:rPr>
      </w:pPr>
      <w:r>
        <w:rPr>
          <w:rtl w:val="0"/>
        </w:rPr>
        <w:instrText>This course is tailored for community nephrologists, advanced practice providers, pharmacists, social workers, trainees, and all clinicians who are involved in or interested in kidney transplantation. Attendees will leave with up-to-date, evidence-based, and clinically relevant knowledge that can be readily applied in practice.</w:instrText>
      </w:r>
    </w:p>
    <w:p>
      <w:pPr>
        <w:bidi w:val="0"/>
        <w:spacing w:after="280" w:afterAutospacing="1"/>
        <w:rPr>
          <w:rtl w:val="0"/>
        </w:rPr>
      </w:pPr>
      <w:r>
        <w:rPr>
          <w:rtl w:val="0"/>
        </w:rPr>
        <w:instrText>In addition to cutting-edge content, the UCSF Kidney Transplantation Update 2026 provides a unique opportunity to engage with UCSF faculty and colleagues committed to advancing transplantation and patient care.</w:instrText>
      </w:r>
    </w:p>
    <w:p>
      <w:pPr>
        <w:bidi w:val="0"/>
        <w:spacing w:after="280" w:afterAutospacing="1"/>
        <w:rPr>
          <w:rtl w:val="0"/>
        </w:rPr>
      </w:pPr>
      <w:r>
        <w:rPr>
          <w:rtl w:val="0"/>
        </w:rPr>
        <w:instrText>We look forward to welcoming you to this year’s program and continuing the tradition of excellence that has made this course a cornerstone of kidney transplantation education for over 20 years.</w:instrText>
      </w:r>
    </w:p>
    <w:p w:rsidRPr="00E2190B">
      <w:pPr>
        <w:bidi w:val="0"/>
        <w:spacing w:after="280" w:afterAutospacing="1"/>
        <w:rPr>
          <w:rFonts w:cs="Arial"/>
          <w:color w:val="auto"/>
        </w:rPr>
      </w:pP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MERGEFIELD EventDesc </w:instrText>
      </w:r>
      <w:r w:rsidRPr="00E2190B">
        <w:rPr>
          <w:rFonts w:cs="Arial"/>
          <w:color w:val="auto"/>
        </w:rPr>
        <w:fldChar w:fldCharType="separate"/>
      </w:r>
      <w:r w:rsidR="00F162A8">
        <w:rPr>
          <w:rFonts w:cs="Arial"/>
          <w:noProof/>
          <w:color w:val="auto"/>
        </w:rPr>
        <w:instrText>«EventDesc»</w:instrText>
      </w:r>
      <w:r w:rsidRPr="00E2190B">
        <w:rPr>
          <w:rFonts w:cs="Arial"/>
          <w:color w:val="auto"/>
        </w:rPr>
        <w:fldChar w:fldCharType="end"/>
      </w:r>
      <w:r w:rsidRPr="00E2190B">
        <w:rPr>
          <w:rFonts w:cs="Arial"/>
          <w:color w:val="auto"/>
        </w:rPr>
        <w:instrText xml:space="preserve">" "" </w:instrText>
      </w:r>
      <w:r w:rsidRPr="00E2190B">
        <w:rPr>
          <w:rFonts w:cs="Arial"/>
          <w:color w:val="auto"/>
        </w:rPr>
        <w:fldChar w:fldCharType="separate"/>
      </w:r>
      <w:r w:rsidRPr="00E2190B">
        <w:rPr>
          <w:rFonts w:cs="Arial"/>
          <w:b/>
          <w:color w:val="auto"/>
          <w:lang w:val="en-US"/>
        </w:rPr>
        <w:t>Error! Unknown op code for conditional.</w:t>
      </w: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1 Evaluate donor organ offers and apply evidence-based acceptance strategies that optimize organ utilization and promote equitable allocation.</w:instrText>
      </w:r>
    </w:p>
    <w:p w:rsidR="002F60D5" w:rsidRPr="00E2190B" w:rsidP="002F60D5">
      <w:pPr>
        <w:pStyle w:val="Mainbodycopy"/>
        <w:spacing w:after="0" w:line="240" w:lineRule="auto"/>
        <w:ind w:left="-806"/>
        <w:rPr>
          <w:rFonts w:cs="Arial"/>
          <w:color w:val="auto"/>
        </w:rPr>
      </w:pPr>
    </w:p>
    <w:p w:rsidR="002F60D5" w:rsidRPr="00E2190B" w:rsidP="002F60D5">
      <w:pPr>
        <w:pStyle w:val="Mainbodycopy"/>
        <w:spacing w:after="0" w:line="240" w:lineRule="auto"/>
        <w:ind w:left="-806"/>
        <w:rPr>
          <w:rFonts w:cs="Arial"/>
          <w:color w:val="auto"/>
        </w:rPr>
      </w:pPr>
    </w:p>
    <w:p w:rsidR="002F60D5" w:rsidRPr="00E2190B" w:rsidP="002F60D5">
      <w:pPr>
        <w:pStyle w:val="Mainbodycopy"/>
        <w:spacing w:after="0" w:line="240" w:lineRule="auto"/>
        <w:ind w:left="-806"/>
        <w:rPr>
          <w:rFonts w:cs="Arial"/>
          <w:color w:val="auto"/>
        </w:rPr>
      </w:pPr>
    </w:p>
    <w:p w:rsidR="002F60D5" w:rsidRPr="00E2190B" w:rsidP="002F60D5">
      <w:pPr>
        <w:pStyle w:val="Mainbodycopy"/>
        <w:spacing w:after="0" w:line="240" w:lineRule="auto"/>
        <w:ind w:left="-806"/>
        <w:rPr>
          <w:rFonts w:cs="Arial"/>
          <w:color w:val="auto"/>
        </w:rPr>
      </w:pPr>
    </w:p>
    <w:p w:rsidR="002F60D5" w:rsidRPr="00E2190B" w:rsidP="002F60D5">
      <w:pPr>
        <w:pStyle w:val="Mainbodycopy"/>
        <w:spacing w:after="0" w:line="240" w:lineRule="auto"/>
        <w:ind w:left="-806"/>
        <w:rPr>
          <w:rFonts w:cs="Arial"/>
          <w:color w:val="auto"/>
        </w:rPr>
      </w:pPr>
    </w:p>
    <w:p w:rsidR="002F60D5" w:rsidRPr="00E2190B" w:rsidP="002F60D5">
      <w:pPr>
        <w:pStyle w:val="Mainbodycopy"/>
        <w:spacing w:after="0" w:line="240" w:lineRule="auto"/>
        <w:ind w:left="-806"/>
        <w:rPr>
          <w:rFonts w:cs="Arial"/>
          <w:color w:val="auto"/>
        </w:rPr>
      </w:pPr>
    </w:p>
    <w:p w:rsidR="002F60D5" w:rsidRPr="00E2190B" w:rsidP="002F60D5">
      <w:pPr>
        <w:pStyle w:val="Mainbodycopy"/>
        <w:spacing w:after="0" w:line="240" w:lineRule="auto"/>
        <w:ind w:left="-806"/>
        <w:rPr>
          <w:rFonts w:cs="Arial"/>
          <w:color w:val="auto"/>
        </w:rPr>
      </w:pPr>
    </w:p>
    <w:p w:rsidR="002F60D5" w:rsidRPr="00E2190B" w:rsidP="002F60D5">
      <w:pPr>
        <w:pStyle w:val="Mainbodycopy"/>
        <w:spacing w:after="0" w:line="240" w:lineRule="auto"/>
        <w:ind w:left="-806"/>
        <w:rPr>
          <w:rFonts w:cs="Arial"/>
          <w:color w:val="auto"/>
        </w:rPr>
      </w:pPr>
      <w:r w:rsidRPr="00E2190B">
        <w:rPr>
          <w:rFonts w:cs="Arial"/>
          <w:color w:val="auto"/>
        </w:rPr>
        <w:instrText>2 Implement advanced immunosuppression and desensitization strategies tailored to highly sensitized, complex, or high-risk kidney transplant recipients.</w:instrText>
      </w:r>
    </w:p>
    <w:p w:rsidR="002F60D5" w:rsidRPr="00E2190B" w:rsidP="002F60D5">
      <w:pPr>
        <w:pStyle w:val="Mainbodycopy"/>
        <w:spacing w:after="0" w:line="240" w:lineRule="auto"/>
        <w:ind w:left="-806"/>
        <w:rPr>
          <w:rFonts w:cs="Arial"/>
          <w:color w:val="auto"/>
        </w:rPr>
      </w:pPr>
      <w:r w:rsidRPr="00E2190B">
        <w:rPr>
          <w:rFonts w:cs="Arial"/>
          <w:color w:val="auto"/>
        </w:rPr>
        <w:instrText>3 Identify and manage recurrent and donor-derived kidney diseases earlier through integrated pathology, infectious disease, nephrology, and surgical approaches.</w:instrText>
      </w:r>
    </w:p>
    <w:p w:rsidR="002F60D5" w:rsidRPr="00E2190B" w:rsidP="002F60D5">
      <w:pPr>
        <w:pStyle w:val="Mainbodycopy"/>
        <w:spacing w:after="0" w:line="240" w:lineRule="auto"/>
        <w:ind w:left="-806"/>
        <w:rPr>
          <w:rFonts w:cs="Arial"/>
          <w:color w:val="auto"/>
        </w:rPr>
      </w:pPr>
      <w:r w:rsidRPr="00E2190B">
        <w:rPr>
          <w:rFonts w:cs="Arial"/>
          <w:color w:val="auto"/>
        </w:rPr>
        <w:instrText xml:space="preserve">4 </w:instrText>
      </w:r>
    </w:p>
    <w:p w:rsidR="002F60D5" w:rsidRPr="00E2190B" w:rsidP="002F60D5">
      <w:pPr>
        <w:pStyle w:val="Mainbodycopy"/>
        <w:spacing w:after="0" w:line="240" w:lineRule="auto"/>
        <w:ind w:left="-806"/>
        <w:rPr>
          <w:rFonts w:cs="Arial"/>
          <w:color w:val="auto"/>
        </w:rPr>
      </w:pPr>
      <w:r w:rsidRPr="00E2190B">
        <w:rPr>
          <w:rFonts w:cs="Arial"/>
          <w:color w:val="auto"/>
        </w:rPr>
        <w:instrText>Increase the effective use of living donor expansion strategies and patient counseling to enhance access to transplantation.</w:instrText>
      </w:r>
    </w:p>
    <w:p w:rsidR="002F60D5" w:rsidRPr="00E2190B" w:rsidP="002F60D5">
      <w:pPr>
        <w:pStyle w:val="Mainbodycopy"/>
        <w:spacing w:after="0" w:line="240" w:lineRule="auto"/>
        <w:ind w:left="-806"/>
        <w:rPr>
          <w:rFonts w:cs="Arial"/>
          <w:color w:val="auto"/>
        </w:rPr>
      </w:pPr>
      <w:r w:rsidRPr="00E2190B">
        <w:rPr>
          <w:rFonts w:cs="Arial"/>
          <w:color w:val="auto"/>
        </w:rPr>
        <w:instrText xml:space="preserve">5 </w:instrText>
      </w:r>
    </w:p>
    <w:p w:rsidR="002F60D5" w:rsidRPr="00E2190B" w:rsidP="002F60D5">
      <w:pPr>
        <w:pStyle w:val="Mainbodycopy"/>
        <w:spacing w:after="0" w:line="240" w:lineRule="auto"/>
        <w:ind w:left="-806"/>
        <w:rPr>
          <w:rFonts w:cs="Arial"/>
          <w:color w:val="auto"/>
        </w:rPr>
      </w:pPr>
      <w:r w:rsidRPr="00E2190B">
        <w:rPr>
          <w:rFonts w:cs="Arial"/>
          <w:color w:val="auto"/>
        </w:rPr>
        <w:instrText>Incorporate clinical trial opportunities and emerging therapies—such as xenotransplantation, cellular therapies, and organ preservation innovations—into patient care discussions and referral pathways.</w:instrText>
      </w:r>
    </w:p>
    <w:p w:rsidR="002F60D5" w:rsidRPr="00E2190B" w:rsidP="002F60D5">
      <w:pPr>
        <w:pStyle w:val="Mainbodycopy"/>
        <w:spacing w:after="0" w:line="240" w:lineRule="auto"/>
        <w:ind w:left="-806"/>
        <w:rPr>
          <w:rFonts w:cs="Arial"/>
          <w:color w:val="auto"/>
        </w:rPr>
      </w:pPr>
      <w:r w:rsidRPr="00E2190B">
        <w:rPr>
          <w:rFonts w:cs="Arial"/>
          <w:color w:val="auto"/>
        </w:rPr>
        <w:instrText>6 Demonstrate integration of new evidence and consensus-based best practices into daily clinical decision-making to reduce preventable graft loss and improve patient and graft outcomes.</w:instrText>
      </w: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instrText>1 Evaluate donor organ offers and apply evidence-based acceptance strategies that optimize organ utilization and promote equitable allocation.</w:instrText>
      </w: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r w:rsidRPr="00E2190B">
        <w:rPr>
          <w:rFonts w:cs="Arial"/>
          <w:color w:val="auto"/>
        </w:rPr>
        <w:instrText>2 Implement advanced immunosuppression and desensitization strategies tailored to highly sensitized, complex, or high-risk kidney transplant recipients.</w:instrText>
      </w:r>
    </w:p>
    <w:p w:rsidRPr="00E2190B" w:rsidP="002F60D5">
      <w:pPr>
        <w:pStyle w:val="Mainbodycopy"/>
        <w:spacing w:after="0" w:line="240" w:lineRule="auto"/>
        <w:ind w:left="-806"/>
        <w:rPr>
          <w:rFonts w:cs="Arial"/>
          <w:color w:val="auto"/>
        </w:rPr>
      </w:pPr>
      <w:r w:rsidRPr="00E2190B">
        <w:rPr>
          <w:rFonts w:cs="Arial"/>
          <w:color w:val="auto"/>
        </w:rPr>
        <w:instrText>3 Identify and manage recurrent and donor-derived kidney diseases earlier through integrated pathology, infectious disease, nephrology, and surgical approaches.</w:instrText>
      </w:r>
    </w:p>
    <w:p w:rsidRPr="00E2190B" w:rsidP="002F60D5">
      <w:pPr>
        <w:pStyle w:val="Mainbodycopy"/>
        <w:spacing w:after="0" w:line="240" w:lineRule="auto"/>
        <w:ind w:left="-806"/>
        <w:rPr>
          <w:rFonts w:cs="Arial"/>
          <w:color w:val="auto"/>
        </w:rPr>
      </w:pPr>
      <w:r w:rsidRPr="00E2190B">
        <w:rPr>
          <w:rFonts w:cs="Arial"/>
          <w:color w:val="auto"/>
        </w:rPr>
        <w:instrText xml:space="preserve">4 </w:instrText>
      </w:r>
    </w:p>
    <w:p w:rsidRPr="00E2190B" w:rsidP="002F60D5">
      <w:pPr>
        <w:pStyle w:val="Mainbodycopy"/>
        <w:spacing w:after="0" w:line="240" w:lineRule="auto"/>
        <w:ind w:left="-806"/>
        <w:rPr>
          <w:rFonts w:cs="Arial"/>
          <w:color w:val="auto"/>
        </w:rPr>
      </w:pPr>
      <w:r w:rsidRPr="00E2190B">
        <w:rPr>
          <w:rFonts w:cs="Arial"/>
          <w:color w:val="auto"/>
        </w:rPr>
        <w:instrText>Increase the effective use of living donor expansion strategies and patient counseling to enhance access to transplantation.</w:instrText>
      </w:r>
    </w:p>
    <w:p w:rsidRPr="00E2190B" w:rsidP="002F60D5">
      <w:pPr>
        <w:pStyle w:val="Mainbodycopy"/>
        <w:spacing w:after="0" w:line="240" w:lineRule="auto"/>
        <w:ind w:left="-806"/>
        <w:rPr>
          <w:rFonts w:cs="Arial"/>
          <w:color w:val="auto"/>
        </w:rPr>
      </w:pPr>
      <w:r w:rsidRPr="00E2190B">
        <w:rPr>
          <w:rFonts w:cs="Arial"/>
          <w:color w:val="auto"/>
        </w:rPr>
        <w:instrText xml:space="preserve">5 </w:instrText>
      </w:r>
    </w:p>
    <w:p w:rsidRPr="00E2190B" w:rsidP="002F60D5">
      <w:pPr>
        <w:pStyle w:val="Mainbodycopy"/>
        <w:spacing w:after="0" w:line="240" w:lineRule="auto"/>
        <w:ind w:left="-806"/>
        <w:rPr>
          <w:rFonts w:cs="Arial"/>
          <w:color w:val="auto"/>
        </w:rPr>
      </w:pPr>
      <w:r w:rsidRPr="00E2190B">
        <w:rPr>
          <w:rFonts w:cs="Arial"/>
          <w:color w:val="auto"/>
        </w:rPr>
        <w:instrText>Incorporate clinical trial opportunities and emerging therapies—such as xenotransplantation, cellular therapies, and organ preservation innovations—into patient care discussions and referral pathways.</w:instrText>
      </w:r>
    </w:p>
    <w:p w:rsidRPr="00E2190B" w:rsidP="002F60D5">
      <w:pPr>
        <w:pStyle w:val="Mainbodycopy"/>
        <w:spacing w:after="0" w:line="240" w:lineRule="auto"/>
        <w:ind w:left="-806"/>
        <w:rPr>
          <w:rFonts w:cs="Arial"/>
          <w:color w:val="auto"/>
        </w:rPr>
      </w:pPr>
      <w:r w:rsidRPr="00E2190B">
        <w:rPr>
          <w:rFonts w:cs="Arial"/>
          <w:color w:val="auto"/>
        </w:rPr>
        <w:instrText>6 Demonstrate integration of new evidence and consensus-based best practices into daily clinical decision-making to reduce preventable graft loss and improve patient and graft outcomes.</w:instrText>
      </w:r>
      <w:r w:rsidRPr="00E2190B">
        <w:rPr>
          <w:rFonts w:cs="Arial"/>
          <w:color w:val="auto"/>
        </w:rPr>
        <w:instrText xml:space="preserve"> " "" </w:instrText>
      </w:r>
      <w:r w:rsidRPr="00E2190B">
        <w:rPr>
          <w:rFonts w:cs="Arial"/>
          <w:color w:val="auto"/>
        </w:rPr>
        <w:fldChar w:fldCharType="separate"/>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t>1 Evaluate donor organ offers and apply evidence-based acceptance strategies that optimize organ utilization and promote equitable allocation.</w:t>
      </w: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p>
    <w:p w:rsidRPr="00E2190B" w:rsidP="002F60D5">
      <w:pPr>
        <w:pStyle w:val="Mainbodycopy"/>
        <w:spacing w:after="0" w:line="240" w:lineRule="auto"/>
        <w:ind w:left="-806"/>
        <w:rPr>
          <w:rFonts w:cs="Arial"/>
          <w:color w:val="auto"/>
        </w:rPr>
      </w:pPr>
      <w:r w:rsidRPr="00E2190B">
        <w:rPr>
          <w:rFonts w:cs="Arial"/>
          <w:color w:val="auto"/>
        </w:rPr>
        <w:t>2 Implement advanced immunosuppression and desensitization strategies tailored to highly sensitized, complex, or high-risk kidney transplant recipients.</w:t>
      </w:r>
    </w:p>
    <w:p w:rsidRPr="00E2190B" w:rsidP="002F60D5">
      <w:pPr>
        <w:pStyle w:val="Mainbodycopy"/>
        <w:spacing w:after="0" w:line="240" w:lineRule="auto"/>
        <w:ind w:left="-806"/>
        <w:rPr>
          <w:rFonts w:cs="Arial"/>
          <w:color w:val="auto"/>
        </w:rPr>
      </w:pPr>
      <w:r w:rsidRPr="00E2190B">
        <w:rPr>
          <w:rFonts w:cs="Arial"/>
          <w:color w:val="auto"/>
        </w:rPr>
        <w:t>3 Identify and manage recurrent and donor-derived kidney diseases earlier through integrated pathology, infectious disease, nephrology, and surgical approaches.</w:t>
      </w:r>
    </w:p>
    <w:p w:rsidRPr="00E2190B" w:rsidP="002F60D5">
      <w:pPr>
        <w:pStyle w:val="Mainbodycopy"/>
        <w:spacing w:after="0" w:line="240" w:lineRule="auto"/>
        <w:ind w:left="-806"/>
        <w:rPr>
          <w:rFonts w:cs="Arial"/>
          <w:color w:val="auto"/>
        </w:rPr>
      </w:pPr>
      <w:r w:rsidRPr="00E2190B">
        <w:rPr>
          <w:rFonts w:cs="Arial"/>
          <w:color w:val="auto"/>
        </w:rPr>
        <w:t xml:space="preserve">4 </w:t>
      </w:r>
    </w:p>
    <w:p w:rsidRPr="00E2190B" w:rsidP="002F60D5">
      <w:pPr>
        <w:pStyle w:val="Mainbodycopy"/>
        <w:spacing w:after="0" w:line="240" w:lineRule="auto"/>
        <w:ind w:left="-806"/>
        <w:rPr>
          <w:rFonts w:cs="Arial"/>
          <w:color w:val="auto"/>
        </w:rPr>
      </w:pPr>
      <w:r w:rsidRPr="00E2190B">
        <w:rPr>
          <w:rFonts w:cs="Arial"/>
          <w:color w:val="auto"/>
        </w:rPr>
        <w:t>Increase the effective use of living donor expansion strategies and patient counseling to enhance access to transplantation.</w:t>
      </w:r>
    </w:p>
    <w:p w:rsidRPr="00E2190B" w:rsidP="002F60D5">
      <w:pPr>
        <w:pStyle w:val="Mainbodycopy"/>
        <w:spacing w:after="0" w:line="240" w:lineRule="auto"/>
        <w:ind w:left="-806"/>
        <w:rPr>
          <w:rFonts w:cs="Arial"/>
          <w:color w:val="auto"/>
        </w:rPr>
      </w:pPr>
      <w:r w:rsidRPr="00E2190B">
        <w:rPr>
          <w:rFonts w:cs="Arial"/>
          <w:color w:val="auto"/>
        </w:rPr>
        <w:t xml:space="preserve">5 </w:t>
      </w:r>
    </w:p>
    <w:p w:rsidRPr="00E2190B" w:rsidP="002F60D5">
      <w:pPr>
        <w:pStyle w:val="Mainbodycopy"/>
        <w:spacing w:after="0" w:line="240" w:lineRule="auto"/>
        <w:ind w:left="-806"/>
        <w:rPr>
          <w:rFonts w:cs="Arial"/>
          <w:color w:val="auto"/>
        </w:rPr>
      </w:pPr>
      <w:r w:rsidRPr="00E2190B">
        <w:rPr>
          <w:rFonts w:cs="Arial"/>
          <w:color w:val="auto"/>
        </w:rPr>
        <w:t>Incorporate clinical trial opportunities and emerging therapies—such as xenotransplantation, cellular therapies, and organ preservation innovations—into patient care discussions and referral pathways.</w:t>
      </w:r>
    </w:p>
    <w:p w:rsidR="002F60D5" w:rsidRPr="00E2190B" w:rsidP="002F60D5">
      <w:pPr>
        <w:pStyle w:val="Mainbodycopy"/>
        <w:spacing w:after="0" w:line="240" w:lineRule="auto"/>
        <w:ind w:left="-806"/>
        <w:rPr>
          <w:rFonts w:cs="Arial"/>
          <w:color w:val="auto"/>
        </w:rPr>
      </w:pPr>
      <w:r w:rsidRPr="00E2190B">
        <w:rPr>
          <w:rFonts w:cs="Arial"/>
          <w:color w:val="auto"/>
        </w:rPr>
        <w:t>6 Demonstrate integration of new evidence and consensus-based best practices into daily clinical decision-making to reduce preventable graft loss and improve patient and graft outcomes.</w:t>
      </w:r>
      <w:r w:rsidRPr="00E2190B">
        <w:rPr>
          <w:rFonts w:cs="Arial"/>
          <w:color w:val="auto"/>
        </w:rPr>
        <w:t xml:space="preserve"> </w:t>
      </w:r>
      <w:r w:rsidRPr="00E2190B">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sidR="00F162A8">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C83399" w:rsidRPr="00C83399"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instrText>0.00</w:instrText>
      </w:r>
      <w:r w:rsidRPr="00C83399">
        <w:rPr>
          <w:rFonts w:ascii="Arial" w:hAnsi="Arial" w:cs="Arial"/>
          <w:color w:val="000000" w:themeColor="text1"/>
          <w:sz w:val="20"/>
          <w:szCs w:val="20"/>
        </w:rPr>
        <w:instrText xml:space="preserve"> &gt; 0 "</w:instrText>
      </w:r>
    </w:p>
    <w:p w:rsidR="00C83399" w:rsidRPr="00A241A9" w:rsidP="00C83399">
      <w:pPr>
        <w:ind w:left="-810"/>
        <w:rPr>
          <w:rFonts w:ascii="Arial" w:hAnsi="Arial" w:cs="Arial"/>
          <w:color w:val="000000" w:themeColor="text1"/>
          <w:sz w:val="20"/>
          <w:szCs w:val="20"/>
        </w:rPr>
      </w:pPr>
    </w:p>
    <w:p w:rsidR="00A05FB6" w:rsidRPr="00C83399"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7.00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7.00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002A14D6">
        <w:rPr>
          <w:rFonts w:ascii="Arial" w:hAnsi="Arial" w:cs="Arial"/>
          <w:color w:val="auto"/>
          <w:sz w:val="20"/>
          <w:szCs w:val="20"/>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00F162A8">
        <w:rPr>
          <w:rFonts w:ascii="Arial" w:hAnsi="Arial" w:cs="Arial"/>
          <w:color w:val="auto"/>
          <w:sz w:val="20"/>
          <w:szCs w:val="20"/>
        </w:rPr>
        <w:instrText xml:space="preserve"> + </w:instrText>
      </w:r>
      <w:r w:rsidRPr="00F162A8" w:rsid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14</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7.00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instrText>"</w:instrText>
      </w:r>
      <w:r w:rsidRPr="00E2190B">
        <w:rPr>
          <w:sz w:val="20"/>
          <w:szCs w:val="20"/>
        </w:rPr>
        <w:instrText>Live Activity</w:instrText>
      </w:r>
      <w:r w:rsidRPr="00E2190B">
        <w:rPr>
          <w:sz w:val="20"/>
          <w:szCs w:val="20"/>
        </w:rPr>
        <w:instrText>"</w:instrText>
      </w:r>
      <w:r w:rsidRPr="00E2190B">
        <w:rPr>
          <w:sz w:val="20"/>
          <w:szCs w:val="20"/>
        </w:rPr>
        <w:instrText xml:space="preserve"> &lt;&gt; "" "</w:instrText>
      </w:r>
      <w:r w:rsidRPr="00E2190B">
        <w:rPr>
          <w:sz w:val="20"/>
          <w:szCs w:val="20"/>
        </w:rPr>
        <w:instrText>Live Activity</w:instrText>
      </w:r>
      <w:r w:rsidRPr="00E2190B">
        <w:rPr>
          <w:sz w:val="20"/>
          <w:szCs w:val="20"/>
        </w:rPr>
        <w:instrText xml:space="preserve">"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w:instrText>
      </w:r>
      <w:r w:rsidRPr="00E2190B">
        <w:rPr>
          <w:sz w:val="20"/>
          <w:szCs w:val="20"/>
        </w:rPr>
        <w:instrText>7.00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instrText xml:space="preserve">UCSF designates this </w:instrText>
      </w:r>
      <w:r w:rsidRPr="00E2190B">
        <w:rPr>
          <w:sz w:val="20"/>
          <w:szCs w:val="20"/>
        </w:rPr>
        <w:instrText>Live Activity</w:instrText>
      </w:r>
      <w:r w:rsidRPr="00E2190B">
        <w:rPr>
          <w:sz w:val="20"/>
          <w:szCs w:val="20"/>
        </w:rPr>
        <w:instrText xml:space="preserve"> for a maximum of </w:instrText>
      </w:r>
      <w:r w:rsidRPr="00E2190B">
        <w:rPr>
          <w:sz w:val="20"/>
          <w:szCs w:val="20"/>
        </w:rPr>
        <w:instrText>7.00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sidR="003B1132">
        <w:rPr>
          <w:sz w:val="20"/>
          <w:szCs w:val="20"/>
        </w:rPr>
        <w:fldChar w:fldCharType="begin"/>
      </w:r>
      <w:r w:rsidR="003B1132">
        <w:rPr>
          <w:sz w:val="20"/>
          <w:szCs w:val="20"/>
        </w:rPr>
        <w:instrText xml:space="preserve"> </w:instrText>
      </w:r>
      <w:r w:rsidRPr="003B1132" w:rsidR="003B1132">
        <w:rPr>
          <w:bCs/>
          <w:sz w:val="20"/>
          <w:szCs w:val="20"/>
        </w:rPr>
        <w:instrText>MERGEFIELD endTime \@ "MM/dd/yyyy"</w:instrText>
      </w:r>
      <w:r w:rsidR="003B1132">
        <w:rPr>
          <w:sz w:val="20"/>
          <w:szCs w:val="20"/>
        </w:rPr>
        <w:instrText xml:space="preserve"> </w:instrText>
      </w:r>
      <w:r w:rsidR="003B1132">
        <w:rPr>
          <w:sz w:val="20"/>
          <w:szCs w:val="20"/>
        </w:rPr>
        <w:fldChar w:fldCharType="separate"/>
      </w:r>
      <w:r w:rsidR="003B1132">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7.00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instrText>7.00</w:instrText>
      </w:r>
      <w:r w:rsidRPr="00E2190B">
        <w:rPr>
          <w:sz w:val="20"/>
          <w:szCs w:val="20"/>
        </w:rPr>
        <w:instrText xml:space="preserve"> Interprofessional Continuing Education (IPCE) credits for learning and change." "" </w:instrText>
      </w:r>
      <w:r w:rsidRPr="00E2190B">
        <w:rPr>
          <w:sz w:val="20"/>
          <w:szCs w:val="20"/>
        </w:rPr>
        <w:fldChar w:fldCharType="separate"/>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instrText>7.00</w:instrText>
      </w:r>
      <w:r w:rsidRPr="00E2190B">
        <w:rPr>
          <w:sz w:val="20"/>
          <w:szCs w:val="20"/>
        </w:rPr>
        <w:instrText xml:space="preserve"> Interprofessional Continuing Education (IPCE) credits for learning and change.</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2A14D6"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RPr="00FC176E"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2A14D6"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F162A8">
      <w:pPr>
        <w:ind w:left="-810"/>
        <w:rPr>
          <w:rFonts w:ascii="Arial" w:eastAsia="Gulim" w:hAnsi="Arial" w:cs="Arial"/>
          <w:sz w:val="20"/>
          <w:szCs w:val="20"/>
        </w:rPr>
      </w:pPr>
    </w:p>
    <w:p w:rsidR="00F162A8" w:rsidRPr="00F162A8"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w:instrText>
      </w:r>
      <w:r w:rsidRPr="00F162A8">
        <w:rPr>
          <w:sz w:val="20"/>
          <w:szCs w:val="20"/>
        </w:rPr>
        <w:instrText>0.00</w:instrText>
      </w:r>
      <w:r w:rsidRPr="00F162A8">
        <w:rPr>
          <w:sz w:val="20"/>
          <w:szCs w:val="20"/>
        </w:rPr>
        <w:instrText xml:space="preserve"> &gt; 0 "</w:instrText>
      </w:r>
    </w:p>
    <w:p w:rsidR="00F162A8" w:rsidRPr="00F162A8" w:rsidP="00F162A8">
      <w:pPr>
        <w:pStyle w:val="BodyText"/>
        <w:ind w:left="-810"/>
        <w:rPr>
          <w:sz w:val="20"/>
          <w:szCs w:val="20"/>
        </w:rPr>
      </w:pPr>
    </w:p>
    <w:p w:rsidR="00A05FB6" w:rsidRPr="00E2190B"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t xml:space="preserve">UCSF designates this </w:t>
      </w:r>
      <w:r w:rsidRPr="00E2190B">
        <w:rPr>
          <w:sz w:val="20"/>
          <w:szCs w:val="20"/>
        </w:rPr>
        <w:t>Live Activity</w:t>
      </w:r>
      <w:r w:rsidRPr="00E2190B">
        <w:rPr>
          <w:sz w:val="20"/>
          <w:szCs w:val="20"/>
        </w:rPr>
        <w:t xml:space="preserve"> for a maximum of </w:t>
      </w:r>
      <w:r w:rsidRPr="00E2190B">
        <w:rPr>
          <w:sz w:val="20"/>
          <w:szCs w:val="20"/>
        </w:rPr>
        <w:t>7.00</w:t>
      </w:r>
      <w:r w:rsidRPr="00E2190B">
        <w:rPr>
          <w:sz w:val="20"/>
          <w:szCs w:val="20"/>
        </w:rPr>
        <w:t xml:space="preserve">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t xml:space="preserve">This activity was planned by and for the healthcare team, and learners may claim up to </w:t>
      </w:r>
      <w:r w:rsidRPr="00E2190B">
        <w:rPr>
          <w:sz w:val="20"/>
          <w:szCs w:val="20"/>
        </w:rPr>
        <w:t>7.00</w:t>
      </w:r>
      <w:r w:rsidRPr="00E2190B">
        <w:rPr>
          <w:sz w:val="20"/>
          <w:szCs w:val="20"/>
        </w:rPr>
        <w:t xml:space="preserve"> Interprofessional Continuing Education (IPCE) credits for learning and change.</w:t>
      </w:r>
      <w:r w:rsidRPr="00E2190B" w:rsidR="00A05FB6">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0</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ACPEHoursMax </w:instrText>
      </w:r>
      <w:r w:rsidRPr="00E2190B">
        <w:rPr>
          <w:sz w:val="20"/>
          <w:szCs w:val="20"/>
        </w:rPr>
        <w:fldChar w:fldCharType="separate"/>
      </w:r>
      <w:r w:rsidRPr="00E2190B">
        <w:rPr>
          <w:noProof/>
          <w:sz w:val="20"/>
          <w:szCs w:val="20"/>
        </w:rPr>
        <w:instrText>«ACPEHoursClaimed»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ANCCHoursMax </w:instrText>
      </w:r>
      <w:r w:rsidRPr="00E2190B">
        <w:rPr>
          <w:sz w:val="20"/>
          <w:szCs w:val="20"/>
        </w:rPr>
        <w:fldChar w:fldCharType="separate"/>
      </w:r>
      <w:r w:rsidRPr="00E2190B">
        <w:rPr>
          <w:noProof/>
          <w:sz w:val="20"/>
          <w:szCs w:val="20"/>
        </w:rPr>
        <w:instrText>«ANCCHoursClaimed»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APAHoursMax </w:instrText>
      </w:r>
      <w:r w:rsidRPr="00E2190B">
        <w:rPr>
          <w:sz w:val="20"/>
          <w:szCs w:val="20"/>
        </w:rPr>
        <w:fldChar w:fldCharType="separate"/>
      </w:r>
      <w:r w:rsidRPr="00E2190B">
        <w:rPr>
          <w:noProof/>
          <w:sz w:val="20"/>
          <w:szCs w:val="20"/>
        </w:rPr>
        <w:instrText>«APAHoursClaimed»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ASWBHoursMax </w:instrText>
      </w:r>
      <w:r w:rsidRPr="00E2190B">
        <w:rPr>
          <w:sz w:val="20"/>
          <w:szCs w:val="20"/>
        </w:rPr>
        <w:fldChar w:fldCharType="separate"/>
      </w:r>
      <w:r w:rsidRPr="00E2190B">
        <w:rPr>
          <w:noProof/>
          <w:sz w:val="20"/>
          <w:szCs w:val="20"/>
        </w:rPr>
        <w:instrText>«ASWBHoursClaimed»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AANAHoursMax </w:instrText>
      </w:r>
      <w:r w:rsidRPr="00E2190B">
        <w:rPr>
          <w:sz w:val="20"/>
          <w:szCs w:val="20"/>
        </w:rPr>
        <w:fldChar w:fldCharType="separate"/>
      </w:r>
      <w:r w:rsidRPr="00E2190B">
        <w:rPr>
          <w:noProof/>
          <w:sz w:val="20"/>
          <w:szCs w:val="20"/>
        </w:rPr>
        <w:instrText>«AANAHoursClaimed»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AANPHoursMax </w:instrText>
      </w:r>
      <w:r w:rsidRPr="00E2190B">
        <w:rPr>
          <w:sz w:val="20"/>
          <w:szCs w:val="20"/>
        </w:rPr>
        <w:fldChar w:fldCharType="separate"/>
      </w:r>
      <w:r w:rsidRPr="00E2190B">
        <w:rPr>
          <w:noProof/>
          <w:sz w:val="20"/>
          <w:szCs w:val="20"/>
        </w:rPr>
        <w:instrText>«AANPHoursClaimed»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AARCHoursMax </w:instrText>
      </w:r>
      <w:r w:rsidRPr="00E2190B">
        <w:rPr>
          <w:sz w:val="20"/>
          <w:szCs w:val="20"/>
        </w:rPr>
        <w:fldChar w:fldCharType="separate"/>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AMCBHoursMax </w:instrText>
      </w:r>
      <w:r w:rsidRPr="00E2190B">
        <w:rPr>
          <w:sz w:val="20"/>
          <w:szCs w:val="20"/>
        </w:rPr>
        <w:fldChar w:fldCharType="separate"/>
      </w:r>
      <w:r w:rsidRPr="00E2190B">
        <w:rPr>
          <w:noProof/>
          <w:sz w:val="20"/>
          <w:szCs w:val="20"/>
        </w:rPr>
        <w:instrText>«AMCBHoursClaimed»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AMTHoursMax </w:instrText>
      </w:r>
      <w:r w:rsidRPr="00E2190B">
        <w:rPr>
          <w:sz w:val="20"/>
          <w:szCs w:val="20"/>
        </w:rPr>
        <w:fldChar w:fldCharType="separate"/>
      </w:r>
      <w:r w:rsidRPr="00E2190B">
        <w:rPr>
          <w:noProof/>
          <w:sz w:val="20"/>
          <w:szCs w:val="20"/>
        </w:rPr>
        <w:instrText>«AMTHoursClaimed»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ARDMSHoursMax </w:instrText>
      </w:r>
      <w:r w:rsidRPr="00E2190B">
        <w:rPr>
          <w:sz w:val="20"/>
          <w:szCs w:val="20"/>
        </w:rPr>
        <w:fldChar w:fldCharType="separate"/>
      </w:r>
      <w:r w:rsidRPr="00E2190B">
        <w:rPr>
          <w:noProof/>
          <w:sz w:val="20"/>
          <w:szCs w:val="20"/>
        </w:rPr>
        <w:instrText>«ARDMSHoursClaimed»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CCHoursMax </w:instrText>
      </w:r>
      <w:r w:rsidRPr="00E2190B">
        <w:rPr>
          <w:sz w:val="20"/>
          <w:szCs w:val="20"/>
        </w:rPr>
        <w:fldChar w:fldCharType="separate"/>
      </w:r>
      <w:r w:rsidRPr="00E2190B">
        <w:rPr>
          <w:noProof/>
          <w:sz w:val="20"/>
          <w:szCs w:val="20"/>
        </w:rPr>
        <w:instrText>«CCHoursClaimed»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CDRHoursMax </w:instrText>
      </w:r>
      <w:r w:rsidRPr="00E2190B">
        <w:rPr>
          <w:sz w:val="20"/>
          <w:szCs w:val="20"/>
        </w:rPr>
        <w:fldChar w:fldCharType="separate"/>
      </w:r>
      <w:r w:rsidRPr="00E2190B">
        <w:rPr>
          <w:noProof/>
          <w:sz w:val="20"/>
          <w:szCs w:val="20"/>
        </w:rPr>
        <w:instrText>«CDRHoursClaimed»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CHPHoursMax </w:instrText>
      </w:r>
      <w:r w:rsidRPr="00E2190B">
        <w:rPr>
          <w:sz w:val="20"/>
          <w:szCs w:val="20"/>
        </w:rPr>
        <w:fldChar w:fldCharType="separate"/>
      </w:r>
      <w:r w:rsidRPr="00E2190B">
        <w:rPr>
          <w:noProof/>
          <w:sz w:val="20"/>
          <w:szCs w:val="20"/>
        </w:rPr>
        <w:instrText>«CHPHoursClaimed»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DOMVIOHoursMax </w:instrText>
      </w:r>
      <w:r w:rsidRPr="00E2190B">
        <w:rPr>
          <w:sz w:val="20"/>
          <w:szCs w:val="20"/>
        </w:rPr>
        <w:fldChar w:fldCharType="separate"/>
      </w:r>
      <w:r w:rsidRPr="00E2190B">
        <w:rPr>
          <w:noProof/>
          <w:sz w:val="20"/>
          <w:szCs w:val="20"/>
        </w:rPr>
        <w:instrText>«DOMVIOHoursClaimed»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EOLCHoursMax </w:instrText>
      </w:r>
      <w:r w:rsidRPr="00E2190B">
        <w:rPr>
          <w:sz w:val="20"/>
          <w:szCs w:val="20"/>
        </w:rPr>
        <w:fldChar w:fldCharType="separate"/>
      </w:r>
      <w:r w:rsidRPr="00E2190B">
        <w:rPr>
          <w:noProof/>
          <w:sz w:val="20"/>
          <w:szCs w:val="20"/>
        </w:rPr>
        <w:instrText>«EOLCHoursClaimed»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EOLPAHoursMax </w:instrText>
      </w:r>
      <w:r w:rsidRPr="00E2190B">
        <w:rPr>
          <w:sz w:val="20"/>
          <w:szCs w:val="20"/>
        </w:rPr>
        <w:fldChar w:fldCharType="separate"/>
      </w:r>
      <w:r w:rsidRPr="00E2190B">
        <w:rPr>
          <w:noProof/>
          <w:sz w:val="20"/>
          <w:szCs w:val="20"/>
        </w:rPr>
        <w:instrText>«EOLPAHoursClaimed»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EthicsHoursMax </w:instrText>
      </w:r>
      <w:r w:rsidRPr="00E2190B">
        <w:rPr>
          <w:sz w:val="20"/>
          <w:szCs w:val="20"/>
        </w:rPr>
        <w:fldChar w:fldCharType="separate"/>
      </w:r>
      <w:r w:rsidRPr="00E2190B">
        <w:rPr>
          <w:noProof/>
          <w:sz w:val="20"/>
          <w:szCs w:val="20"/>
        </w:rPr>
        <w:instrText>«EthicsHoursClaimed»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FHMHoursMax </w:instrText>
      </w:r>
      <w:r w:rsidRPr="00E2190B">
        <w:rPr>
          <w:sz w:val="20"/>
          <w:szCs w:val="20"/>
        </w:rPr>
        <w:fldChar w:fldCharType="separate"/>
      </w:r>
      <w:r w:rsidRPr="00E2190B">
        <w:rPr>
          <w:noProof/>
          <w:sz w:val="20"/>
          <w:szCs w:val="20"/>
        </w:rPr>
        <w:instrText>«FHMHoursClaimed»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GeriatricHoursMax </w:instrText>
      </w:r>
      <w:r w:rsidRPr="00E2190B">
        <w:rPr>
          <w:sz w:val="20"/>
          <w:szCs w:val="20"/>
        </w:rPr>
        <w:fldChar w:fldCharType="separate"/>
      </w:r>
      <w:r w:rsidRPr="00E2190B">
        <w:rPr>
          <w:noProof/>
          <w:sz w:val="20"/>
          <w:szCs w:val="20"/>
        </w:rPr>
        <w:instrText>«GeriatricHoursClaimed»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GLAHoursMax </w:instrText>
      </w:r>
      <w:r w:rsidRPr="00E2190B">
        <w:rPr>
          <w:sz w:val="20"/>
          <w:szCs w:val="20"/>
        </w:rPr>
        <w:fldChar w:fldCharType="separate"/>
      </w:r>
      <w:r w:rsidRPr="00E2190B">
        <w:rPr>
          <w:noProof/>
          <w:sz w:val="20"/>
          <w:szCs w:val="20"/>
        </w:rPr>
        <w:instrText>«GLAHoursClaimed»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IBHoursMax </w:instrText>
      </w:r>
      <w:r w:rsidRPr="00E2190B">
        <w:rPr>
          <w:sz w:val="20"/>
          <w:szCs w:val="20"/>
        </w:rPr>
        <w:fldChar w:fldCharType="separate"/>
      </w:r>
      <w:r w:rsidRPr="00E2190B">
        <w:rPr>
          <w:noProof/>
          <w:sz w:val="20"/>
          <w:szCs w:val="20"/>
        </w:rPr>
        <w:instrText>«IBHoursClaimed»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MATEHoursMax </w:instrText>
      </w:r>
      <w:r w:rsidRPr="00E2190B">
        <w:rPr>
          <w:sz w:val="20"/>
          <w:szCs w:val="20"/>
        </w:rPr>
        <w:fldChar w:fldCharType="separate"/>
      </w:r>
      <w:r w:rsidRPr="00E2190B">
        <w:rPr>
          <w:noProof/>
          <w:sz w:val="20"/>
          <w:szCs w:val="20"/>
        </w:rPr>
        <w:instrText>«MATEHoursClaimed»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OPPainHoursMax </w:instrText>
      </w:r>
      <w:r w:rsidRPr="00E2190B">
        <w:rPr>
          <w:sz w:val="20"/>
          <w:szCs w:val="20"/>
        </w:rPr>
        <w:fldChar w:fldCharType="separate"/>
      </w:r>
      <w:r w:rsidRPr="00E2190B">
        <w:rPr>
          <w:noProof/>
          <w:sz w:val="20"/>
          <w:szCs w:val="20"/>
        </w:rPr>
        <w:instrText>«OPPainHoursClaimed»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PainHoursMax </w:instrText>
      </w:r>
      <w:r w:rsidRPr="00E2190B">
        <w:rPr>
          <w:sz w:val="20"/>
          <w:szCs w:val="20"/>
        </w:rPr>
        <w:fldChar w:fldCharType="separate"/>
      </w:r>
      <w:r w:rsidRPr="00E2190B">
        <w:rPr>
          <w:noProof/>
          <w:sz w:val="20"/>
          <w:szCs w:val="20"/>
        </w:rPr>
        <w:instrText>«PainHoursClaimed»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NursePharmHoursMax </w:instrText>
      </w:r>
      <w:r w:rsidRPr="00E2190B">
        <w:rPr>
          <w:sz w:val="20"/>
          <w:szCs w:val="20"/>
        </w:rPr>
        <w:fldChar w:fldCharType="separate"/>
      </w:r>
      <w:r w:rsidRPr="00E2190B">
        <w:rPr>
          <w:noProof/>
          <w:sz w:val="20"/>
          <w:szCs w:val="20"/>
        </w:rPr>
        <w:instrText>«NursePharmHoursClaimed»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PsyChHoursMax </w:instrText>
      </w:r>
      <w:r w:rsidRPr="00E2190B">
        <w:rPr>
          <w:sz w:val="20"/>
          <w:szCs w:val="20"/>
        </w:rPr>
        <w:fldChar w:fldCharType="separate"/>
      </w:r>
      <w:r w:rsidRPr="00E2190B">
        <w:rPr>
          <w:noProof/>
          <w:sz w:val="20"/>
          <w:szCs w:val="20"/>
        </w:rPr>
        <w:instrText>«PsyChHoursClaimed»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RespiratoryHoursMax </w:instrText>
      </w:r>
      <w:r w:rsidRPr="00E2190B">
        <w:rPr>
          <w:sz w:val="20"/>
          <w:szCs w:val="20"/>
        </w:rPr>
        <w:fldChar w:fldCharType="separate"/>
      </w:r>
      <w:r w:rsidRPr="00E2190B">
        <w:rPr>
          <w:noProof/>
          <w:sz w:val="20"/>
          <w:szCs w:val="20"/>
        </w:rPr>
        <w:instrText>«RespiratoryHoursClaimed»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RiskHoursMax </w:instrText>
      </w:r>
      <w:r w:rsidRPr="00E2190B">
        <w:rPr>
          <w:sz w:val="20"/>
          <w:szCs w:val="20"/>
        </w:rPr>
        <w:fldChar w:fldCharType="separate"/>
      </w:r>
      <w:r w:rsidRPr="00E2190B">
        <w:rPr>
          <w:noProof/>
          <w:sz w:val="20"/>
          <w:szCs w:val="20"/>
        </w:rPr>
        <w:instrText>«RiskHoursClaimed»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Schedule2HoursMax </w:instrText>
      </w:r>
      <w:r w:rsidRPr="00E2190B">
        <w:rPr>
          <w:sz w:val="20"/>
          <w:szCs w:val="20"/>
        </w:rPr>
        <w:fldChar w:fldCharType="separate"/>
      </w:r>
      <w:r w:rsidRPr="00E2190B">
        <w:rPr>
          <w:noProof/>
          <w:sz w:val="20"/>
          <w:szCs w:val="20"/>
        </w:rPr>
        <w:instrText>«Schedule2HoursClaimed»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StrokeHoursMax </w:instrText>
      </w:r>
      <w:r w:rsidRPr="00E2190B">
        <w:rPr>
          <w:sz w:val="20"/>
          <w:szCs w:val="20"/>
        </w:rPr>
        <w:fldChar w:fldCharType="separate"/>
      </w:r>
      <w:r w:rsidRPr="00E2190B">
        <w:rPr>
          <w:noProof/>
          <w:sz w:val="20"/>
          <w:szCs w:val="20"/>
        </w:rPr>
        <w:instrText>«StrokeHoursMax»</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SUIHoursMax </w:instrText>
      </w:r>
      <w:r w:rsidRPr="00E2190B">
        <w:rPr>
          <w:sz w:val="20"/>
          <w:szCs w:val="20"/>
        </w:rPr>
        <w:fldChar w:fldCharType="separate"/>
      </w:r>
      <w:r w:rsidRPr="00E2190B">
        <w:rPr>
          <w:noProof/>
          <w:sz w:val="20"/>
          <w:szCs w:val="20"/>
        </w:rPr>
        <w:instrText>«SUIHoursClaimed»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TBSHoursMax </w:instrText>
      </w:r>
      <w:r w:rsidRPr="00E2190B">
        <w:rPr>
          <w:sz w:val="20"/>
          <w:szCs w:val="20"/>
        </w:rPr>
        <w:fldChar w:fldCharType="separate"/>
      </w:r>
      <w:r w:rsidRPr="00E2190B">
        <w:rPr>
          <w:noProof/>
          <w:sz w:val="20"/>
          <w:szCs w:val="20"/>
        </w:rPr>
        <w:instrText>«TBSHoursClaimed»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TraumaHoursMax </w:instrText>
      </w:r>
      <w:r w:rsidRPr="00E2190B">
        <w:rPr>
          <w:sz w:val="20"/>
          <w:szCs w:val="20"/>
        </w:rPr>
        <w:fldChar w:fldCharType="separate"/>
      </w:r>
      <w:r w:rsidRPr="00E2190B">
        <w:rPr>
          <w:noProof/>
          <w:sz w:val="20"/>
          <w:szCs w:val="20"/>
        </w:rPr>
        <w:instrText>«TraumaHoursClaimed»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ABOSSAEHoursMax </w:instrText>
      </w:r>
      <w:r w:rsidRPr="00E2190B">
        <w:rPr>
          <w:sz w:val="20"/>
          <w:szCs w:val="20"/>
        </w:rPr>
        <w:fldChar w:fldCharType="separate"/>
      </w:r>
      <w:r w:rsidRPr="00E2190B">
        <w:rPr>
          <w:noProof/>
          <w:sz w:val="20"/>
          <w:szCs w:val="20"/>
        </w:rPr>
        <w:instrText>«ABOSSAEHoursClaimed»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ABSSAMHoursMax </w:instrText>
      </w:r>
      <w:r w:rsidRPr="00E2190B">
        <w:rPr>
          <w:sz w:val="20"/>
          <w:szCs w:val="20"/>
        </w:rPr>
        <w:fldChar w:fldCharType="separate"/>
      </w:r>
      <w:r w:rsidRPr="00E2190B">
        <w:rPr>
          <w:noProof/>
          <w:sz w:val="20"/>
          <w:szCs w:val="20"/>
        </w:rPr>
        <w:instrText>«ABSSAMHoursClaimed»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AAAHoursMax </w:instrText>
      </w:r>
      <w:r w:rsidRPr="00E2190B">
        <w:rPr>
          <w:sz w:val="20"/>
          <w:szCs w:val="20"/>
        </w:rPr>
        <w:fldChar w:fldCharType="separate"/>
      </w:r>
      <w:r w:rsidRPr="00E2190B">
        <w:rPr>
          <w:noProof/>
          <w:sz w:val="20"/>
          <w:szCs w:val="20"/>
        </w:rPr>
        <w:instrText>«AAAHoursClaimed»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CAMPEPHoursMax </w:instrText>
      </w:r>
      <w:r w:rsidRPr="00E2190B">
        <w:rPr>
          <w:sz w:val="20"/>
          <w:szCs w:val="20"/>
        </w:rPr>
        <w:fldChar w:fldCharType="separate"/>
      </w:r>
      <w:r w:rsidRPr="00E2190B">
        <w:rPr>
          <w:noProof/>
          <w:sz w:val="20"/>
          <w:szCs w:val="20"/>
        </w:rPr>
        <w:instrText>«CAMPEPHoursClaimed»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MQSAACRBrBioHoursMax </w:instrText>
      </w:r>
      <w:r w:rsidRPr="00E2190B">
        <w:rPr>
          <w:sz w:val="20"/>
          <w:szCs w:val="20"/>
        </w:rPr>
        <w:fldChar w:fldCharType="separate"/>
      </w:r>
      <w:r w:rsidRPr="00E2190B">
        <w:rPr>
          <w:noProof/>
          <w:sz w:val="20"/>
          <w:szCs w:val="20"/>
        </w:rPr>
        <w:instrText>«MQSAACRBrBioHoursClaimed»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MQSAACRCThoursMax </w:instrText>
      </w:r>
      <w:r w:rsidRPr="00E2190B">
        <w:rPr>
          <w:sz w:val="20"/>
          <w:szCs w:val="20"/>
        </w:rPr>
        <w:fldChar w:fldCharType="separate"/>
      </w:r>
      <w:r w:rsidRPr="00E2190B">
        <w:rPr>
          <w:noProof/>
          <w:sz w:val="20"/>
          <w:szCs w:val="20"/>
        </w:rPr>
        <w:instrText>«MQSAACRCThoursClaimed»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MQSAACRMRIhoursMax </w:instrText>
      </w:r>
      <w:r w:rsidRPr="00E2190B">
        <w:rPr>
          <w:sz w:val="20"/>
          <w:szCs w:val="20"/>
        </w:rPr>
        <w:fldChar w:fldCharType="separate"/>
      </w:r>
      <w:r w:rsidRPr="00E2190B">
        <w:rPr>
          <w:noProof/>
          <w:sz w:val="20"/>
          <w:szCs w:val="20"/>
        </w:rPr>
        <w:instrText>«MQSAACRMRIhoursClaimed»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MQSAACRMShoursMax </w:instrText>
      </w:r>
      <w:r w:rsidRPr="00E2190B">
        <w:rPr>
          <w:sz w:val="20"/>
          <w:szCs w:val="20"/>
        </w:rPr>
        <w:fldChar w:fldCharType="separate"/>
      </w:r>
      <w:r w:rsidRPr="00E2190B">
        <w:rPr>
          <w:noProof/>
          <w:sz w:val="20"/>
          <w:szCs w:val="20"/>
        </w:rPr>
        <w:instrText>«MQSAACRMShoursClaimed»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MQSAACRNIhoursMax </w:instrText>
      </w:r>
      <w:r w:rsidRPr="00E2190B">
        <w:rPr>
          <w:sz w:val="20"/>
          <w:szCs w:val="20"/>
        </w:rPr>
        <w:fldChar w:fldCharType="separate"/>
      </w:r>
      <w:r w:rsidRPr="00E2190B">
        <w:rPr>
          <w:noProof/>
          <w:sz w:val="20"/>
          <w:szCs w:val="20"/>
        </w:rPr>
        <w:instrText>«MQSAACRNIhoursClaimed»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MQSAACRPedHoursMax </w:instrText>
      </w:r>
      <w:r w:rsidRPr="00E2190B">
        <w:rPr>
          <w:sz w:val="20"/>
          <w:szCs w:val="20"/>
        </w:rPr>
        <w:fldChar w:fldCharType="separate"/>
      </w:r>
      <w:r w:rsidRPr="00E2190B">
        <w:rPr>
          <w:noProof/>
          <w:sz w:val="20"/>
          <w:szCs w:val="20"/>
        </w:rPr>
        <w:instrText>«MQSAACRPedHoursClaimed»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MQSAACRPETHoursMax </w:instrText>
      </w:r>
      <w:r w:rsidRPr="00E2190B">
        <w:rPr>
          <w:sz w:val="20"/>
          <w:szCs w:val="20"/>
        </w:rPr>
        <w:fldChar w:fldCharType="separate"/>
      </w:r>
      <w:r w:rsidRPr="00E2190B">
        <w:rPr>
          <w:noProof/>
          <w:sz w:val="20"/>
          <w:szCs w:val="20"/>
        </w:rPr>
        <w:instrText>«MQSAACRPETHoursClaimed»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MQSAACRThorHoursMax </w:instrText>
      </w:r>
      <w:r w:rsidRPr="00E2190B">
        <w:rPr>
          <w:sz w:val="20"/>
          <w:szCs w:val="20"/>
        </w:rPr>
        <w:fldChar w:fldCharType="separate"/>
      </w:r>
      <w:r w:rsidRPr="00E2190B">
        <w:rPr>
          <w:noProof/>
          <w:sz w:val="20"/>
          <w:szCs w:val="20"/>
        </w:rPr>
        <w:instrText>«MQSAACRThorHoursClaimed»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MQSAACRTomHoursMax </w:instrText>
      </w:r>
      <w:r w:rsidRPr="00E2190B">
        <w:rPr>
          <w:sz w:val="20"/>
          <w:szCs w:val="20"/>
        </w:rPr>
        <w:fldChar w:fldCharType="separate"/>
      </w:r>
      <w:r w:rsidRPr="00E2190B">
        <w:rPr>
          <w:noProof/>
          <w:sz w:val="20"/>
          <w:szCs w:val="20"/>
        </w:rPr>
        <w:instrText>«MQSAACRTomHoursClaimed»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MQSAACRUSHoursMax </w:instrText>
      </w:r>
      <w:r w:rsidRPr="00E2190B">
        <w:rPr>
          <w:sz w:val="20"/>
          <w:szCs w:val="20"/>
        </w:rPr>
        <w:fldChar w:fldCharType="separate"/>
      </w:r>
      <w:r w:rsidRPr="00E2190B">
        <w:rPr>
          <w:noProof/>
          <w:sz w:val="20"/>
          <w:szCs w:val="20"/>
        </w:rPr>
        <w:instrText>«MQSAACRUSHoursClaimed»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MSQAACRBrHoursMax </w:instrText>
      </w:r>
      <w:r w:rsidRPr="00E2190B">
        <w:rPr>
          <w:sz w:val="20"/>
          <w:szCs w:val="20"/>
        </w:rPr>
        <w:fldChar w:fldCharType="separate"/>
      </w:r>
      <w:r w:rsidRPr="00E2190B">
        <w:rPr>
          <w:noProof/>
          <w:sz w:val="20"/>
          <w:szCs w:val="20"/>
        </w:rPr>
        <w:instrText>«MSQAACRBrHoursClaimed»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MQSAACRhoursMax </w:instrText>
      </w:r>
      <w:r w:rsidRPr="00E2190B">
        <w:rPr>
          <w:sz w:val="20"/>
          <w:szCs w:val="20"/>
        </w:rPr>
        <w:fldChar w:fldCharType="separate"/>
      </w:r>
      <w:r w:rsidRPr="00E2190B">
        <w:rPr>
          <w:noProof/>
          <w:sz w:val="20"/>
          <w:szCs w:val="20"/>
        </w:rPr>
        <w:instrText>«MQSAACRhoursClaimed»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AAFPHoursMax </w:instrText>
      </w:r>
      <w:r w:rsidRPr="00E2190B">
        <w:rPr>
          <w:sz w:val="20"/>
          <w:szCs w:val="20"/>
        </w:rPr>
        <w:fldChar w:fldCharType="separate"/>
      </w:r>
      <w:r w:rsidRPr="00E2190B">
        <w:rPr>
          <w:noProof/>
          <w:sz w:val="20"/>
          <w:szCs w:val="20"/>
        </w:rPr>
        <w:instrText>«AAFPHoursClaimed»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ACOGHoursMax </w:instrText>
      </w:r>
      <w:r w:rsidRPr="00E2190B">
        <w:rPr>
          <w:sz w:val="20"/>
          <w:szCs w:val="20"/>
        </w:rPr>
        <w:fldChar w:fldCharType="separate"/>
      </w:r>
      <w:r w:rsidRPr="00E2190B">
        <w:rPr>
          <w:noProof/>
          <w:sz w:val="20"/>
          <w:szCs w:val="20"/>
        </w:rPr>
        <w:instrText>«ACOGHoursClaimed»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NBCRNAHoursMax </w:instrText>
      </w:r>
      <w:r w:rsidRPr="00E2190B">
        <w:rPr>
          <w:sz w:val="20"/>
          <w:szCs w:val="20"/>
        </w:rPr>
        <w:fldChar w:fldCharType="separate"/>
      </w:r>
      <w:r w:rsidRPr="00E2190B">
        <w:rPr>
          <w:noProof/>
          <w:sz w:val="20"/>
          <w:szCs w:val="20"/>
        </w:rPr>
        <w:instrText>«NBCRNAHoursClaimed»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ASHAHoursMax </w:instrText>
      </w:r>
      <w:r w:rsidRPr="00E2190B">
        <w:rPr>
          <w:sz w:val="20"/>
          <w:szCs w:val="20"/>
        </w:rPr>
        <w:fldChar w:fldCharType="separate"/>
      </w:r>
      <w:r w:rsidRPr="00E2190B">
        <w:rPr>
          <w:noProof/>
          <w:sz w:val="20"/>
          <w:szCs w:val="20"/>
        </w:rPr>
        <w:instrText>«ASHAHoursClaimed»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F162A8">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tbl>
      <w:tblPr>
        <w:tblW w:w="5000" w:type="pct"/>
        <w:jc w:val="left"/>
        <w:tblCellSpacing w:w="15" w:type="dxa"/>
        <w:tblInd w:w="0" w:type="dxa"/>
        <w:tblCellMar>
          <w:top w:w="15" w:type="dxa"/>
          <w:left w:w="15" w:type="dxa"/>
          <w:bottom w:w="15" w:type="dxa"/>
          <w:right w:w="15" w:type="dxa"/>
        </w:tblCellMar>
      </w:tblPr>
      <w:tblGrid>
        <w:gridCol w:w="8898"/>
      </w:tblGrid>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Deborah B Adey, MD, Professor of Medicine</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 xml:space="preserve">Professor </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Paul Brakeman,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Amarpali Brar,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 xml:space="preserve">UCSF </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Chris Freise,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Professor of Surgery</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James M Gardner,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Associate Professor in Residence</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Pascale Khairallah, MD, MS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 xml:space="preserve">University of California San Francisco </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Zoltan Laszik,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Professor of Pathology</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Justin Oveyssi, DO, MBA</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 Medical Center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Raja Rajalingam,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 Immunogenetics and TRansplantation Laboratory</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Charles Rickert,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Assistant 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 xml:space="preserve">Garrett Roll, MD, Associate Professor </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Puneet Sood, MD, MPH, Professor of Medicine and Surgery</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Medical Director, Kidney Transplant Service</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Peter Stock,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Professor of Surgery</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Anatoly Urisman,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Flavio Vincenti,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Professor</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University of California, San Francisco</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Allison B Webber, 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MD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UCSF Kidney Transplant</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bl>
    <w:p w:rsidR="00AD0E66" w:rsidRPr="00E2190B">
      <w:pPr>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Deborah B Adey, MD, Professor of Medicine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Grant or research support-Natera (Relationship has ended)|Grant or research support-Hansa (Relationship has ended)|Consulting Fee-Vertex Pharmaceuticals (Relationship has ended) - 04/07/2026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Paul Brakeman,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Amarpali Brar,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- 03/20/2026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Jacqueline Ferris, MSN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Peer Reviewer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- 10/03/2025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Chris Freise,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James M Gardner,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- 04/02/2026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Pascale Khairallah, MD, MS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Advisor-Invivyd (Relationship has ended) - 03/25/2026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Jennifer La, PharmD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- 10/03/2025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Zoltan Laszik,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- 04/06/2026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Philina Lim, BS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Administrator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- 05/06/2025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Michelle Mcmahan, 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- 11/10/2025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Justin Oveyssi, DO, MBA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- 04/02/2026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Raja Rajalingam,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- 03/24/2026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Charles Rickert,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Sarah Rock, LCSW</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- 10/03/2025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 xml:space="preserve">Garrett Roll, MD, Associate Professor </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- 11/18/2025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Puneet Sood, MD, MPH, Professor of Medicine and Surgery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- 04/06/2026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Peter Stock,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Fee-Vertex Pharmaceuticals|Consulting Fee-SANA|Membership on Advisory Committees or Review Panels, Board Membership, etc.-Minutia - 03/23/2026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Anatoly Urisman,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Flavio Vincenti,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Fee-Alexion Pharmaceuticals|Consulting Fee-Merck (Any division) (Relationship has ended)|Consulting Fee-Sanofi S.A. - 03/31/2026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Allison B Webber,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- 03/21/2026</w:t>
            </w:r>
          </w:p>
        </w:tc>
      </w:tr>
    </w:tbl>
    <w:p w:rsidR="00AB14FC" w:rsidRPr="00E2190B">
      <w:pPr>
        <w:bidi w:val="0"/>
        <w:spacing w:after="280" w:afterAutospacing="1"/>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pPr>
        <w:bidi w:val="0"/>
        <w:spacing w:after="280" w:afterAutospacing="1"/>
        <w:rPr>
          <w:rFonts w:cs="Arial"/>
          <w:color w:val="auto"/>
        </w:rPr>
      </w:pPr>
      <w:r w:rsidRPr="00E2190B">
        <w:rPr>
          <w:rFonts w:cs="Arial"/>
          <w:color w:val="auto"/>
        </w:rPr>
        <w:instrText>products or agents are discussed or referenced.</w:instrText>
      </w:r>
    </w:p>
    <w:p w:rsidRPr="00E2190B">
      <w:pPr>
        <w:bidi w:val="0"/>
        <w:spacing w:after="280" w:afterAutospacing="1"/>
        <w:rPr>
          <w:rFonts w:cs="Arial"/>
          <w:color w:val="auto"/>
        </w:rPr>
      </w:pPr>
    </w:p>
    <w:p w:rsidRPr="00E2190B">
      <w:pPr>
        <w:bidi w:val="0"/>
        <w:spacing w:after="280" w:afterAutospacing="1"/>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pPr>
        <w:bidi w:val="0"/>
        <w:spacing w:after="280" w:afterAutospacing="1"/>
        <w:rPr>
          <w:rFonts w:cs="Arial"/>
          <w:color w:val="auto"/>
        </w:rPr>
      </w:pP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rsidRPr="00E2190B" w:rsidP="00AB14FC">
      <w:pPr>
        <w:pStyle w:val="Mainbodycopy"/>
        <w:spacing w:after="0" w:line="240" w:lineRule="auto"/>
        <w:ind w:left="-810"/>
        <w:rPr>
          <w:rFonts w:cs="Arial"/>
          <w:color w:val="auto"/>
        </w:rPr>
      </w:pPr>
      <w:r w:rsidRPr="00E2190B">
        <w:rPr>
          <w:rFonts w:cs="Arial"/>
          <w:color w:val="auto"/>
        </w:rPr>
        <w:t>products or agents are discussed or referenced.</w: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rsidR="00AB14FC" w:rsidRPr="00E2190B" w:rsidP="00AB14FC">
      <w:pPr>
        <w:pStyle w:val="Mainbodycopy"/>
        <w:spacing w:after="0" w:line="240" w:lineRule="auto"/>
        <w:ind w:left="-810"/>
        <w:rPr>
          <w:rFonts w:cs="Arial"/>
          <w:color w:val="auto"/>
        </w:rPr>
      </w:pPr>
      <w:r w:rsidRPr="00E2190B">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924790039"/>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186</TotalTime>
  <Pages>8</Pages>
  <Words>7490</Words>
  <Characters>42699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42</cp:revision>
  <cp:lastPrinted>2021-02-19T20:10:00Z</cp:lastPrinted>
  <dcterms:created xsi:type="dcterms:W3CDTF">2025-04-23T19:25:00Z</dcterms:created>
  <dcterms:modified xsi:type="dcterms:W3CDTF">2025-05-27T19:11:00Z</dcterms:modified>
</cp:coreProperties>
</file>