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0E5DCE" w:rsidRPr="00841DF6" w:rsidP="006D16BE">
      <w:pPr>
        <w:ind w:left="-806"/>
        <w:rPr>
          <w:rFonts w:ascii="Arial" w:hAnsi="Arial" w:cs="Arial"/>
          <w:color w:val="000000" w:themeColor="text1"/>
          <w:sz w:val="20"/>
          <w:szCs w:val="20"/>
        </w:rPr>
      </w:pPr>
    </w:p>
    <w:p w:rsidR="000E5DCE" w:rsidRPr="00841DF6" w:rsidP="006D16BE">
      <w:pPr>
        <w:pStyle w:val="Mainbodycopy"/>
        <w:spacing w:before="120" w:after="0" w:line="240" w:lineRule="auto"/>
        <w:ind w:left="-806"/>
        <w:jc w:val="center"/>
        <w:rPr>
          <w:rFonts w:cs="Arial"/>
          <w:color w:val="00A5B4"/>
          <w:sz w:val="32"/>
          <w:szCs w:val="32"/>
        </w:rPr>
      </w:pPr>
      <w:bookmarkStart w:id="0" w:name="Certificate_of_Credit_HREM_Stacey"/>
      <w:bookmarkEnd w:id="0"/>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w:instrText>
      </w:r>
      <w:r w:rsidRPr="00841DF6">
        <w:rPr>
          <w:rFonts w:cs="Arial"/>
          <w:color w:val="00A5B4"/>
          <w:sz w:val="32"/>
          <w:szCs w:val="32"/>
          <w:lang w:val="en-US"/>
        </w:rPr>
        <w:instrText>SOP-Clinical Pharmacy</w:instrText>
      </w:r>
      <w:r w:rsidRPr="00841DF6">
        <w:rPr>
          <w:rFonts w:cs="Arial"/>
          <w:color w:val="00A5B4"/>
          <w:sz w:val="32"/>
          <w:szCs w:val="32"/>
          <w:lang w:val="en-US"/>
        </w:rPr>
        <w:instrText>"</w:instrText>
      </w:r>
      <w:r w:rsidRPr="00841DF6">
        <w:rPr>
          <w:rFonts w:cs="Arial"/>
          <w:color w:val="00A5B4"/>
          <w:sz w:val="32"/>
          <w:szCs w:val="32"/>
          <w:lang w:val="en-US"/>
        </w:rPr>
        <w:instrText xml:space="preserve"> &lt;&gt; "" "</w:instrText>
      </w:r>
      <w:r w:rsidRPr="00841DF6" w:rsidR="000A7384">
        <w:rPr>
          <w:rFonts w:cs="Arial"/>
          <w:color w:val="00A5B4"/>
          <w:sz w:val="32"/>
          <w:szCs w:val="32"/>
          <w:lang w:val="en-US"/>
        </w:rPr>
        <w:instrText xml:space="preserve">The </w:instrText>
      </w:r>
      <w:r w:rsidRPr="00841DF6">
        <w:rPr>
          <w:rFonts w:cs="Arial"/>
          <w:color w:val="00A5B4"/>
          <w:sz w:val="32"/>
          <w:szCs w:val="32"/>
          <w:lang w:val="en-US"/>
        </w:rPr>
        <w:instrText>SOP-Clinical Pharmacy</w:instrText>
      </w:r>
      <w:r w:rsidR="000C6C7C">
        <w:rPr>
          <w:rFonts w:cs="Arial"/>
          <w:color w:val="00A5B4"/>
          <w:sz w:val="32"/>
          <w:szCs w:val="32"/>
        </w:rPr>
        <w:instrText xml:space="preserve"> </w:instrText>
      </w:r>
      <w:r w:rsidRPr="00841DF6" w:rsidR="00E00864">
        <w:rPr>
          <w:rFonts w:cs="Arial"/>
          <w:color w:val="00A5B4"/>
          <w:sz w:val="32"/>
          <w:szCs w:val="32"/>
        </w:rPr>
        <w:instrText xml:space="preserve">Department </w:instrText>
      </w:r>
      <w:r w:rsidRPr="00841DF6" w:rsidR="000A7384">
        <w:rPr>
          <w:rFonts w:cs="Arial"/>
          <w:color w:val="00A5B4"/>
          <w:sz w:val="32"/>
          <w:szCs w:val="32"/>
        </w:rPr>
        <w:instrText>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sidR="000A7384">
        <w:rPr>
          <w:rFonts w:cs="Arial"/>
          <w:color w:val="00A5B4"/>
          <w:sz w:val="32"/>
          <w:szCs w:val="32"/>
          <w:lang w:val="en-US"/>
        </w:rPr>
        <w:t xml:space="preserve">The </w:t>
      </w:r>
      <w:r w:rsidRPr="00841DF6">
        <w:rPr>
          <w:rFonts w:cs="Arial"/>
          <w:color w:val="00A5B4"/>
          <w:sz w:val="32"/>
          <w:szCs w:val="32"/>
          <w:lang w:val="en-US"/>
        </w:rPr>
        <w:t>SOP-Clinical Pharmacy</w:t>
      </w:r>
      <w:r w:rsidR="000C6C7C">
        <w:rPr>
          <w:rFonts w:cs="Arial"/>
          <w:color w:val="00A5B4"/>
          <w:sz w:val="32"/>
          <w:szCs w:val="32"/>
        </w:rPr>
        <w:t xml:space="preserve"> </w:t>
      </w:r>
      <w:r w:rsidRPr="00841DF6" w:rsidR="00E00864">
        <w:rPr>
          <w:rFonts w:cs="Arial"/>
          <w:color w:val="00A5B4"/>
          <w:sz w:val="32"/>
          <w:szCs w:val="32"/>
        </w:rPr>
        <w:t xml:space="preserve">Department </w:t>
      </w:r>
      <w:r w:rsidRPr="00841DF6" w:rsidR="000A7384">
        <w:rPr>
          <w:rFonts w:cs="Arial"/>
          <w:color w:val="00A5B4"/>
          <w:sz w:val="32"/>
          <w:szCs w:val="32"/>
        </w:rPr>
        <w:t>Presents</w:t>
      </w:r>
      <w:r w:rsidRPr="00841DF6">
        <w:rPr>
          <w:rFonts w:cs="Arial"/>
          <w:color w:val="00A5B4"/>
          <w:sz w:val="32"/>
          <w:szCs w:val="32"/>
        </w:rPr>
        <w:fldChar w:fldCharType="end"/>
      </w:r>
    </w:p>
    <w:p w:rsidR="000E5DCE" w:rsidRPr="00841DF6" w:rsidP="006D16BE">
      <w:pPr>
        <w:pStyle w:val="Mainbodycopy"/>
        <w:spacing w:before="120" w:after="0" w:line="240" w:lineRule="auto"/>
        <w:ind w:left="-806"/>
        <w:jc w:val="center"/>
        <w:rPr>
          <w:rFonts w:cs="Arial"/>
          <w:color w:val="00A5B4"/>
          <w:sz w:val="40"/>
          <w:szCs w:val="40"/>
          <w:lang w:val="en-US"/>
        </w:rPr>
      </w:pPr>
      <w:r w:rsidRPr="00841DF6">
        <w:rPr>
          <w:rFonts w:cs="Arial"/>
          <w:color w:val="00A5B4"/>
          <w:sz w:val="40"/>
          <w:szCs w:val="40"/>
          <w:lang w:val="en-US"/>
        </w:rPr>
        <w:t>UCSF Pharmacy Grand Rounds 2025-2026</w:t>
      </w:r>
    </w:p>
    <w:p w:rsidR="000E5DCE" w:rsidRPr="00841DF6"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 xml:space="preserve">August 05, 2025 </w:t>
      </w:r>
      <w:r w:rsidRPr="00841DF6">
        <w:rPr>
          <w:rFonts w:cs="Arial"/>
          <w:color w:val="00A5B4"/>
          <w:sz w:val="32"/>
          <w:szCs w:val="32"/>
        </w:rPr>
        <w:br/>
      </w:r>
      <w:r w:rsidRPr="00841DF6">
        <w:rPr>
          <w:rFonts w:cs="Arial"/>
          <w:color w:val="00A5B4"/>
          <w:sz w:val="32"/>
          <w:szCs w:val="32"/>
          <w:lang w:val="en-US"/>
        </w:rPr>
        <w:t xml:space="preserve">10:31 AM - </w:t>
      </w:r>
      <w:r w:rsidRPr="00841DF6">
        <w:rPr>
          <w:rFonts w:cs="Arial"/>
          <w:color w:val="00A5B4"/>
          <w:sz w:val="32"/>
          <w:szCs w:val="32"/>
          <w:lang w:val="en-US"/>
        </w:rPr>
        <w:t>12:00 PM</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w:instrText>
      </w:r>
      <w:r w:rsidRPr="00841DF6">
        <w:rPr>
          <w:rFonts w:cs="Arial"/>
          <w:color w:val="00A5B4"/>
          <w:sz w:val="32"/>
          <w:szCs w:val="32"/>
          <w:lang w:val="en-US"/>
        </w:rPr>
        <w:instrText xml:space="preserve">UCSF Parnassus, Mission Bay and Zoom - </w:instrText>
      </w:r>
      <w:r w:rsidRPr="00841DF6">
        <w:rPr>
          <w:rFonts w:cs="Arial"/>
          <w:color w:val="00A5B4"/>
          <w:sz w:val="32"/>
          <w:szCs w:val="32"/>
          <w:lang w:val="en-US"/>
        </w:rPr>
        <w:instrText>"</w:instrText>
      </w:r>
      <w:r w:rsidRPr="00841DF6">
        <w:rPr>
          <w:rFonts w:cs="Arial"/>
          <w:color w:val="00A5B4"/>
          <w:sz w:val="32"/>
          <w:szCs w:val="32"/>
          <w:lang w:val="en-US"/>
        </w:rPr>
        <w:instrText xml:space="preserve"> &lt;&gt; "" "</w:instrText>
      </w:r>
      <w:r w:rsidRPr="00841DF6">
        <w:rPr>
          <w:rFonts w:cs="Arial"/>
          <w:color w:val="00A5B4"/>
          <w:sz w:val="32"/>
          <w:szCs w:val="32"/>
          <w:lang w:val="en-US"/>
        </w:rPr>
        <w:instrText xml:space="preserve">UCSF Parnassus, Mission Bay and Zoom - </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lang w:val="en-US"/>
        </w:rPr>
        <w:t xml:space="preserve">UCSF Parnassus, Mission Bay and Zoom - </w:t>
      </w:r>
      <w:r w:rsidRPr="00841DF6">
        <w:rPr>
          <w:rFonts w:cs="Arial"/>
          <w:color w:val="00A5B4"/>
          <w:sz w:val="32"/>
          <w:szCs w:val="32"/>
        </w:rPr>
        <w:fldChar w:fldCharType="end"/>
      </w:r>
    </w:p>
    <w:p w:rsidR="002F60D5" w:rsidRPr="00841DF6" w:rsidP="002F60D5">
      <w:pPr>
        <w:pStyle w:val="Mainbodycopy"/>
        <w:spacing w:before="120" w:after="0" w:line="240" w:lineRule="auto"/>
        <w:ind w:left="-806"/>
        <w:jc w:val="center"/>
        <w:rPr>
          <w:rFonts w:cs="Arial"/>
          <w:color w:val="00A5B4"/>
          <w:sz w:val="32"/>
          <w:szCs w:val="32"/>
          <w:lang w:val="en-US"/>
        </w:rPr>
      </w:pPr>
    </w:p>
    <w:p w:rsidR="002F60D5" w:rsidRPr="00841DF6" w:rsidP="002F60D5">
      <w:pPr>
        <w:pStyle w:val="Mainbodycopy"/>
        <w:spacing w:after="0" w:line="240" w:lineRule="auto"/>
        <w:ind w:left="-806"/>
        <w:rPr>
          <w:rFonts w:cs="Arial"/>
          <w:color w:val="0F243E" w:themeColor="text2" w:themeShade="80"/>
        </w:rPr>
      </w:pPr>
    </w:p>
    <w:p w:rsidR="002F60D5" w:rsidRPr="00E2190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r>
        <w:rPr>
          <w:rtl w:val="0"/>
        </w:rPr>
        <w:instrText>The University of California, San Francisco School of Pharmacy (UCSF SOP) supports IPPE and APPE students annually to complete their experiential education requirements. The UCSF Pharmacy Residency Training Program also is sponsored jointly by UCSF Health and UCSF School of Pharmacy. The support of preceptors through CPE is critical to ensure effective education of UCSF students and residents and to meet ASHP residency standards. The program aims to equip preceptors with current evidence based clinical content to allow the delivery of high caliber patient care and teaching of learners. Pharmacy Grand Rounds are reflective of a collaborative effort between UCSF School of Pharmacy, UCSF Health and Residency Training Program. Pharmacy Grand Rounds are made up of a variety of focus areas including Preceptor Development, Research Series, Clinical Updates and Guest Faculty Speakers.</w:instrText>
      </w:r>
      <w:r w:rsidRPr="00E2190B">
        <w:rPr>
          <w:rFonts w:cs="Arial"/>
          <w:color w:val="auto"/>
        </w:rPr>
        <w:instrText>" &lt;&gt; "" "</w:instrText>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rsidR="00F162A8" w:rsidRPr="00E2190B" w:rsidP="002F60D5">
      <w:pPr>
        <w:pStyle w:val="Mainbodycopy"/>
        <w:spacing w:after="0" w:line="240" w:lineRule="auto"/>
        <w:ind w:left="-806"/>
        <w:rPr>
          <w:rFonts w:cs="Arial"/>
          <w:noProof/>
          <w:color w:val="auto"/>
        </w:rPr>
      </w:pPr>
      <w:r>
        <w:rPr>
          <w:rtl w:val="0"/>
        </w:rPr>
        <w:instrText>The University of California, San Francisco School of Pharmacy (UCSF SOP) supports IPPE and APPE students annually to complete their experiential education requirements. The UCSF Pharmacy Residency Training Program also is sponsored jointly by UCSF Health and UCSF School of Pharmacy. The support of preceptors through CPE is critical to ensure effective education of UCSF students and residents and to meet ASHP residency standards. The program aims to equip preceptors with current evidence based clinical content to allow the delivery of high caliber patient care and teaching of learners. Pharmacy Grand Rounds are reflective of a collaborative effort between UCSF School of Pharmacy, UCSF Health and Residency Training Program. Pharmacy Grand Rounds are made up of a variety of focus areas including Preceptor Development, Research Series, Clinical Updates and Guest Faculty Speakers.</w:instrText>
      </w:r>
      <w:r w:rsidRPr="00E2190B">
        <w:rPr>
          <w:rFonts w:cs="Arial"/>
          <w:color w:val="auto"/>
        </w:rPr>
        <w:instrText xml:space="preserve">" "" </w:instrText>
      </w:r>
      <w:r w:rsidRPr="00E2190B">
        <w:rPr>
          <w:rFonts w:cs="Arial"/>
          <w:color w:val="auto"/>
        </w:rPr>
        <w:fldChar w:fldCharType="separate"/>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Purpose:</w:t>
      </w:r>
    </w:p>
    <w:p w:rsidR="002F60D5" w:rsidRPr="00E2190B" w:rsidP="002F60D5">
      <w:pPr>
        <w:pStyle w:val="Mainbodycopy"/>
        <w:spacing w:after="0" w:line="240" w:lineRule="auto"/>
        <w:ind w:left="-806"/>
        <w:rPr>
          <w:rFonts w:cs="Arial"/>
          <w:color w:val="auto"/>
          <w:lang w:val="en-US"/>
        </w:rPr>
      </w:pPr>
      <w:r>
        <w:rPr>
          <w:rtl w:val="0"/>
        </w:rPr>
        <w:t>The University of California, San Francisco School of Pharmacy (UCSF SOP) supports IPPE and APPE students annually to complete their experiential education requirements. The UCSF Pharmacy Residency Training Program also is sponsored jointly by UCSF Health and UCSF School of Pharmacy. The support of preceptors through CPE is critical to ensure effective education of UCSF students and residents and to meet ASHP residency standards. The program aims to equip preceptors with current evidence based clinical content to allow the delivery of high caliber patient care and teaching of learners. Pharmacy Grand Rounds are reflective of a collaborative effort between UCSF School of Pharmacy, UCSF Health and Residency Training Program. Pharmacy Grand Rounds are made up of a variety of focus areas including Preceptor Development, Research Series, Clinical Updates and Guest Faculty Speakers.</w:t>
      </w:r>
      <w:r w:rsidRPr="00E2190B">
        <w:rPr>
          <w:rFonts w:cs="Arial"/>
          <w:color w:val="auto"/>
          <w:lang w:val="en-US"/>
        </w:rPr>
        <w:fldChar w:fldCharType="end"/>
      </w: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1  Define the importance of the clinical topic to the pharmacy staff at UCSF</w:instrText>
      </w:r>
    </w:p>
    <w:p w:rsidR="002F60D5" w:rsidRPr="00E2190B" w:rsidP="002F60D5">
      <w:pPr>
        <w:pStyle w:val="Mainbodycopy"/>
        <w:spacing w:after="0" w:line="240" w:lineRule="auto"/>
        <w:ind w:left="-806"/>
        <w:rPr>
          <w:rFonts w:cs="Arial"/>
          <w:color w:val="auto"/>
        </w:rPr>
      </w:pPr>
      <w:r w:rsidRPr="00E2190B">
        <w:rPr>
          <w:rFonts w:cs="Arial"/>
          <w:color w:val="auto"/>
        </w:rPr>
        <w:instrText>2 Describe the role of the pharmacist in improving care delivered to patients at UCSF</w:instrText>
      </w:r>
    </w:p>
    <w:p w:rsidR="002F60D5" w:rsidRPr="00E2190B" w:rsidP="002F60D5">
      <w:pPr>
        <w:pStyle w:val="Mainbodycopy"/>
        <w:spacing w:after="0" w:line="240" w:lineRule="auto"/>
        <w:ind w:left="-806"/>
        <w:rPr>
          <w:rFonts w:cs="Arial"/>
          <w:color w:val="auto"/>
        </w:rPr>
      </w:pPr>
      <w:r w:rsidRPr="00E2190B">
        <w:rPr>
          <w:rFonts w:cs="Arial"/>
          <w:color w:val="auto"/>
        </w:rPr>
        <w:instrText>3 Discuss common medication dosing, adverse events and how to mitigate these events for patients at UCSF</w:instrText>
      </w:r>
    </w:p>
    <w:p w:rsidR="002F60D5" w:rsidRPr="00E2190B" w:rsidP="002F60D5">
      <w:pPr>
        <w:pStyle w:val="Mainbodycopy"/>
        <w:spacing w:after="0" w:line="240" w:lineRule="auto"/>
        <w:ind w:left="-806"/>
        <w:rPr>
          <w:rFonts w:cs="Arial"/>
          <w:color w:val="auto"/>
        </w:rPr>
      </w:pPr>
      <w:r w:rsidRPr="00E2190B">
        <w:rPr>
          <w:rFonts w:cs="Arial"/>
          <w:color w:val="auto"/>
        </w:rPr>
        <w:instrText xml:space="preserve">4 Discuss how UCSF policies relate to this clinical topic </w:instrText>
      </w:r>
      <w:r w:rsidRPr="00E2190B">
        <w:rPr>
          <w:rFonts w:cs="Arial"/>
          <w:color w:val="auto"/>
        </w:rPr>
        <w:instrText>"</w:instrText>
      </w:r>
      <w:r w:rsidRPr="00E2190B">
        <w:rPr>
          <w:rFonts w:cs="Arial"/>
          <w:color w:val="auto"/>
        </w:rPr>
        <w:instrText xml:space="preserve"> &lt;&gt; "" "</w:instrText>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rsidR="002F60D5" w:rsidRPr="00E2190B" w:rsidP="002F60D5">
      <w:pPr>
        <w:pStyle w:val="Mainbodycopy"/>
        <w:spacing w:after="0" w:line="240" w:lineRule="auto"/>
        <w:ind w:left="-806"/>
        <w:rPr>
          <w:rFonts w:cs="Arial"/>
          <w:color w:val="auto"/>
        </w:rPr>
      </w:pPr>
    </w:p>
    <w:p w:rsidR="00F162A8" w:rsidRPr="00E2190B" w:rsidP="002F60D5">
      <w:pPr>
        <w:pStyle w:val="Mainbodycopy"/>
        <w:spacing w:after="0" w:line="240" w:lineRule="auto"/>
        <w:ind w:left="-806"/>
        <w:rPr>
          <w:rFonts w:cs="Arial"/>
          <w:noProof/>
          <w:color w:val="auto"/>
        </w:rPr>
      </w:pPr>
      <w:r w:rsidRPr="00E2190B">
        <w:rPr>
          <w:rFonts w:cs="Arial"/>
          <w:color w:val="auto"/>
        </w:rPr>
        <w:instrText>1  Define the importance of the clinical topic to the pharmacy staff at UCSF</w:instrText>
      </w:r>
    </w:p>
    <w:p w:rsidRPr="00E2190B" w:rsidP="002F60D5">
      <w:pPr>
        <w:pStyle w:val="Mainbodycopy"/>
        <w:spacing w:after="0" w:line="240" w:lineRule="auto"/>
        <w:ind w:left="-806"/>
        <w:rPr>
          <w:rFonts w:cs="Arial"/>
          <w:color w:val="auto"/>
        </w:rPr>
      </w:pPr>
      <w:r w:rsidRPr="00E2190B">
        <w:rPr>
          <w:rFonts w:cs="Arial"/>
          <w:color w:val="auto"/>
        </w:rPr>
        <w:instrText>2 Describe the role of the pharmacist in improving care delivered to patients at UCSF</w:instrText>
      </w:r>
    </w:p>
    <w:p w:rsidRPr="00E2190B" w:rsidP="002F60D5">
      <w:pPr>
        <w:pStyle w:val="Mainbodycopy"/>
        <w:spacing w:after="0" w:line="240" w:lineRule="auto"/>
        <w:ind w:left="-806"/>
        <w:rPr>
          <w:rFonts w:cs="Arial"/>
          <w:color w:val="auto"/>
        </w:rPr>
      </w:pPr>
      <w:r w:rsidRPr="00E2190B">
        <w:rPr>
          <w:rFonts w:cs="Arial"/>
          <w:color w:val="auto"/>
        </w:rPr>
        <w:instrText>3 Discuss common medication dosing, adverse events and how to mitigate these events for patients at UCSF</w:instrText>
      </w:r>
    </w:p>
    <w:p w:rsidRPr="00E2190B" w:rsidP="002F60D5">
      <w:pPr>
        <w:pStyle w:val="Mainbodycopy"/>
        <w:spacing w:after="0" w:line="240" w:lineRule="auto"/>
        <w:ind w:left="-806"/>
        <w:rPr>
          <w:rFonts w:cs="Arial"/>
          <w:color w:val="auto"/>
        </w:rPr>
      </w:pPr>
      <w:r w:rsidRPr="00E2190B">
        <w:rPr>
          <w:rFonts w:cs="Arial"/>
          <w:color w:val="auto"/>
        </w:rPr>
        <w:instrText xml:space="preserve">4 Discuss how UCSF policies relate to this clinical topic </w:instrText>
      </w:r>
      <w:r w:rsidRPr="00E2190B">
        <w:rPr>
          <w:rFonts w:cs="Arial"/>
          <w:color w:val="auto"/>
        </w:rPr>
        <w:instrText xml:space="preserve"> " "" </w:instrText>
      </w:r>
      <w:r w:rsidRPr="00E2190B">
        <w:rPr>
          <w:rFonts w:cs="Arial"/>
          <w:color w:val="auto"/>
        </w:rPr>
        <w:fldChar w:fldCharType="separate"/>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Educational Objectives:</w: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t>An attendee completing this course will be able to improve skills and strategies for:</w:t>
      </w:r>
    </w:p>
    <w:p w:rsidR="002F60D5" w:rsidRPr="00E2190B" w:rsidP="002F60D5">
      <w:pPr>
        <w:pStyle w:val="Mainbodycopy"/>
        <w:spacing w:after="0" w:line="240" w:lineRule="auto"/>
        <w:ind w:left="-806"/>
        <w:rPr>
          <w:rFonts w:cs="Arial"/>
          <w:color w:val="auto"/>
        </w:rPr>
      </w:pPr>
    </w:p>
    <w:p w:rsidR="00F162A8" w:rsidRPr="00E2190B" w:rsidP="002F60D5">
      <w:pPr>
        <w:pStyle w:val="Mainbodycopy"/>
        <w:spacing w:after="0" w:line="240" w:lineRule="auto"/>
        <w:ind w:left="-806"/>
        <w:rPr>
          <w:rFonts w:cs="Arial"/>
          <w:noProof/>
          <w:color w:val="auto"/>
        </w:rPr>
      </w:pPr>
      <w:r w:rsidRPr="00E2190B">
        <w:rPr>
          <w:rFonts w:cs="Arial"/>
          <w:color w:val="auto"/>
        </w:rPr>
        <w:t>1  Define the importance of the clinical topic to the pharmacy staff at UCSF</w:t>
      </w:r>
    </w:p>
    <w:p w:rsidRPr="00E2190B" w:rsidP="002F60D5">
      <w:pPr>
        <w:pStyle w:val="Mainbodycopy"/>
        <w:spacing w:after="0" w:line="240" w:lineRule="auto"/>
        <w:ind w:left="-806"/>
        <w:rPr>
          <w:rFonts w:cs="Arial"/>
          <w:color w:val="auto"/>
        </w:rPr>
      </w:pPr>
      <w:r w:rsidRPr="00E2190B">
        <w:rPr>
          <w:rFonts w:cs="Arial"/>
          <w:color w:val="auto"/>
        </w:rPr>
        <w:t>2 Describe the role of the pharmacist in improving care delivered to patients at UCSF</w:t>
      </w:r>
    </w:p>
    <w:p w:rsidRPr="00E2190B" w:rsidP="002F60D5">
      <w:pPr>
        <w:pStyle w:val="Mainbodycopy"/>
        <w:spacing w:after="0" w:line="240" w:lineRule="auto"/>
        <w:ind w:left="-806"/>
        <w:rPr>
          <w:rFonts w:cs="Arial"/>
          <w:color w:val="auto"/>
        </w:rPr>
      </w:pPr>
      <w:r w:rsidRPr="00E2190B">
        <w:rPr>
          <w:rFonts w:cs="Arial"/>
          <w:color w:val="auto"/>
        </w:rPr>
        <w:t>3 Discuss common medication dosing, adverse events and how to mitigate these events for patients at UCSF</w:t>
      </w:r>
    </w:p>
    <w:p w:rsidR="002F60D5" w:rsidRPr="00E2190B" w:rsidP="002F60D5">
      <w:pPr>
        <w:pStyle w:val="Mainbodycopy"/>
        <w:spacing w:after="0" w:line="240" w:lineRule="auto"/>
        <w:ind w:left="-806"/>
        <w:rPr>
          <w:rFonts w:cs="Arial"/>
          <w:color w:val="auto"/>
        </w:rPr>
      </w:pPr>
      <w:r w:rsidRPr="00E2190B">
        <w:rPr>
          <w:rFonts w:cs="Arial"/>
          <w:color w:val="auto"/>
        </w:rPr>
        <w:t xml:space="preserve">4 Discuss how UCSF policies relate to this clinical topic </w:t>
      </w:r>
      <w:r w:rsidRPr="00E2190B">
        <w:rPr>
          <w:rFonts w:cs="Arial"/>
          <w:color w:val="auto"/>
        </w:rPr>
        <w:t xml:space="preserve"> </w:t>
      </w:r>
      <w:r w:rsidRPr="00E2190B">
        <w:rPr>
          <w:rFonts w:cs="Arial"/>
          <w:color w:val="auto"/>
        </w:rPr>
        <w:fldChar w:fldCharType="end"/>
      </w:r>
    </w:p>
    <w:p w:rsidR="006D16BE" w:rsidRPr="00E2190B" w:rsidP="00AB14FC">
      <w:pPr>
        <w:pStyle w:val="Mainbodycopy"/>
        <w:spacing w:after="0" w:line="240" w:lineRule="auto"/>
        <w:ind w:left="0"/>
        <w:rPr>
          <w:rFonts w:cs="Arial"/>
          <w:color w:val="auto"/>
        </w:rPr>
      </w:pPr>
    </w:p>
    <w:p w:rsidR="000E5DCE" w:rsidRPr="00E2190B" w:rsidP="00E2190B">
      <w:pPr>
        <w:pStyle w:val="Mainbodycopy"/>
        <w:spacing w:after="0" w:line="240" w:lineRule="auto"/>
        <w:ind w:left="-806"/>
        <w:rPr>
          <w:rFonts w:cs="Arial"/>
          <w:color w:val="00A5B4"/>
          <w:sz w:val="32"/>
          <w:szCs w:val="32"/>
          <w:lang w:val="en-US" w:bidi="en-US"/>
        </w:rPr>
      </w:pPr>
      <w:r w:rsidRPr="00E2190B">
        <w:rPr>
          <w:rFonts w:cs="Arial"/>
          <w:noProof/>
          <w:color w:val="00A5B4"/>
          <w:sz w:val="32"/>
          <w:szCs w:val="32"/>
          <w:lang w:val="en-US" w:bidi="en-US"/>
        </w:rPr>
        <w:drawing>
          <wp:anchor distT="0" distB="0" distL="114300" distR="114300" simplePos="0" relativeHeight="251658240" behindDoc="0" locked="0" layoutInCell="1" allowOverlap="1">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xmlns:r="http://schemas.openxmlformats.org/officeDocument/2006/relationships" r:embed="rId5"/>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rsidR="00AB1C6F" w:rsidRPr="00E2190B"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sidR="00F162A8">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rsidR="000C6C7C" w:rsidRPr="00E2190B" w:rsidP="000C6C7C">
      <w:pPr>
        <w:pStyle w:val="BodyText"/>
        <w:ind w:left="-810"/>
        <w:rPr>
          <w:sz w:val="20"/>
          <w:szCs w:val="20"/>
        </w:rPr>
      </w:pPr>
      <w:r w:rsidRPr="00E2190B">
        <w:rPr>
          <w:sz w:val="20"/>
          <w:szCs w:val="20"/>
        </w:rPr>
        <w:t>This CME activity meets the requirements under California Assembly 1195, continuing education, and cultural and linguistic competency.</w:t>
      </w:r>
      <w:r w:rsidRPr="00E2190B">
        <w:rPr>
          <w:sz w:val="20"/>
          <w:szCs w:val="20"/>
        </w:rPr>
        <w:t xml:space="preserve"> </w: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xmlns:r="http://schemas.openxmlformats.org/officeDocument/2006/relationships" r:embed="rId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rsidR="000C6C7C" w:rsidRPr="00E2190B"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C83399" w:rsidRPr="00C83399"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instrText>0.00</w:instrText>
      </w:r>
      <w:r w:rsidRPr="00C83399">
        <w:rPr>
          <w:rFonts w:ascii="Arial" w:hAnsi="Arial" w:cs="Arial"/>
          <w:color w:val="000000" w:themeColor="text1"/>
          <w:sz w:val="20"/>
          <w:szCs w:val="20"/>
        </w:rPr>
        <w:instrText xml:space="preserve"> &gt; 0 "</w:instrText>
      </w:r>
    </w:p>
    <w:p w:rsidR="00C83399" w:rsidRPr="00A241A9" w:rsidP="00C83399">
      <w:pPr>
        <w:ind w:left="-810"/>
        <w:rPr>
          <w:rFonts w:ascii="Arial" w:hAnsi="Arial" w:cs="Arial"/>
          <w:color w:val="000000" w:themeColor="text1"/>
          <w:sz w:val="20"/>
          <w:szCs w:val="20"/>
        </w:rPr>
      </w:pPr>
    </w:p>
    <w:p w:rsidR="00A05FB6" w:rsidRPr="00C83399"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1.00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lang w:val="en-US"/>
        </w:rPr>
        <w:instrText xml:space="preserve">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002A14D6">
        <w:rPr>
          <w:rFonts w:ascii="Arial" w:hAnsi="Arial" w:cs="Arial"/>
          <w:color w:val="auto"/>
          <w:sz w:val="20"/>
          <w:szCs w:val="20"/>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00F162A8">
        <w:rPr>
          <w:rFonts w:ascii="Arial" w:hAnsi="Arial" w:cs="Arial"/>
          <w:color w:val="auto"/>
          <w:sz w:val="20"/>
          <w:szCs w:val="20"/>
        </w:rPr>
        <w:instrText xml:space="preserve"> + </w:instrText>
      </w:r>
      <w:r w:rsidRPr="00F162A8" w:rsid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1</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 \# 0.00#</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1.00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instrText>1.00</w:instrText>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instrText>JA0000302-0000-25-002-L99-P</w:instrText>
      </w:r>
      <w:r w:rsidRPr="00E2190B">
        <w:rPr>
          <w:sz w:val="20"/>
          <w:szCs w:val="20"/>
        </w:rPr>
        <w:instrText xml:space="preserve"> &lt;&gt; "" "Pharmacist UAN : </w:instrText>
      </w:r>
      <w:r w:rsidRPr="00E2190B">
        <w:rPr>
          <w:sz w:val="20"/>
          <w:szCs w:val="20"/>
        </w:rPr>
        <w:instrText>JA0000302-0000-25-002-L99-P</w:instrText>
      </w:r>
      <w:r w:rsidRPr="00E2190B">
        <w:rPr>
          <w:sz w:val="20"/>
          <w:szCs w:val="20"/>
        </w:rPr>
        <w:instrText xml:space="preserve">" "" </w:instrText>
      </w:r>
      <w:r w:rsidRPr="00E2190B">
        <w:rPr>
          <w:sz w:val="20"/>
          <w:szCs w:val="20"/>
        </w:rPr>
        <w:fldChar w:fldCharType="separate"/>
      </w:r>
      <w:r w:rsidRPr="00E2190B">
        <w:rPr>
          <w:sz w:val="20"/>
          <w:szCs w:val="20"/>
        </w:rPr>
        <w:instrText xml:space="preserve">Pharmacist UAN : </w:instrText>
      </w:r>
      <w:r w:rsidRPr="00E2190B">
        <w:rPr>
          <w:sz w:val="20"/>
          <w:szCs w:val="20"/>
        </w:rPr>
        <w:instrText>JA0000302-0000-25-002-L99-P</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instrText>JA0000302-0000-25-002-L99-T</w:instrText>
      </w:r>
      <w:r w:rsidRPr="00E2190B">
        <w:rPr>
          <w:sz w:val="20"/>
          <w:szCs w:val="20"/>
        </w:rPr>
        <w:instrText xml:space="preserve">" "" </w:instrText>
      </w:r>
      <w:r w:rsidRPr="00E2190B">
        <w:rPr>
          <w:sz w:val="20"/>
          <w:szCs w:val="20"/>
        </w:rPr>
        <w:fldChar w:fldCharType="separate"/>
      </w:r>
      <w:r w:rsidRPr="00E2190B">
        <w:rPr>
          <w:sz w:val="20"/>
          <w:szCs w:val="20"/>
        </w:rPr>
        <w:instrText xml:space="preserve">Pharmacy Technician UAN: </w:instrText>
      </w:r>
      <w:r w:rsidRPr="00E2190B">
        <w:rPr>
          <w:sz w:val="20"/>
          <w:szCs w:val="20"/>
        </w:rPr>
        <w:instrText>JA0000302-0000-25-002-L99-T</w:instrText>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p>
    <w:p w:rsidR="00A05FB6" w:rsidRPr="00E2190B" w:rsidP="00A05FB6">
      <w:pPr>
        <w:pStyle w:val="BodyText"/>
        <w:ind w:left="-810"/>
        <w:rPr>
          <w:sz w:val="20"/>
          <w:szCs w:val="20"/>
        </w:rPr>
      </w:pPr>
    </w:p>
    <w:p w:rsidRPr="00E2190B"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instrText>1.00</w:instrText>
      </w:r>
      <w:r w:rsidRPr="00E2190B">
        <w:rPr>
          <w:sz w:val="20"/>
          <w:szCs w:val="20"/>
        </w:rPr>
        <w:instrText xml:space="preserve"> continuing pharmacy education credits under the UAN #: </w:instrText>
      </w:r>
      <w:r w:rsidRPr="00E2190B">
        <w:rPr>
          <w:sz w:val="20"/>
          <w:szCs w:val="20"/>
        </w:rPr>
        <w:instrText xml:space="preserve">Pharmacist UAN : </w:instrText>
      </w:r>
      <w:r w:rsidRPr="00E2190B">
        <w:rPr>
          <w:sz w:val="20"/>
          <w:szCs w:val="20"/>
        </w:rPr>
        <w:instrText>JA0000302-0000-25-002-L99-P</w:instrText>
      </w:r>
      <w:r w:rsidRPr="00E2190B">
        <w:rPr>
          <w:sz w:val="20"/>
          <w:szCs w:val="20"/>
        </w:rPr>
        <w:instrText xml:space="preserve">Pharmacy Technician UAN: </w:instrText>
      </w:r>
      <w:r w:rsidRPr="00E2190B">
        <w:rPr>
          <w:sz w:val="20"/>
          <w:szCs w:val="20"/>
        </w:rPr>
        <w:instrText>JA0000302-0000-25-002-L99-T</w:instrText>
      </w:r>
      <w:r w:rsidRPr="00E2190B">
        <w:rPr>
          <w:sz w:val="20"/>
          <w:szCs w:val="20"/>
        </w:rPr>
        <w:instrText>. Credits will be reported to CPEMonitor(R) within 45 days.</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6E6909"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ANCCHoursMax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ANCC contact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6E6909" w:rsidRPr="00E2190B" w:rsidP="00A05FB6">
      <w:pPr>
        <w:pStyle w:val="BodyText"/>
        <w:ind w:left="-810"/>
        <w:rPr>
          <w:sz w:val="20"/>
          <w:szCs w:val="20"/>
        </w:rPr>
      </w:pPr>
    </w:p>
    <w:p w:rsidR="00A05FB6" w:rsidRPr="00E2190B"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sidR="003B1132">
        <w:rPr>
          <w:sz w:val="20"/>
          <w:szCs w:val="20"/>
        </w:rPr>
        <w:fldChar w:fldCharType="begin"/>
      </w:r>
      <w:r w:rsidR="003B1132">
        <w:rPr>
          <w:sz w:val="20"/>
          <w:szCs w:val="20"/>
        </w:rPr>
        <w:instrText xml:space="preserve"> </w:instrText>
      </w:r>
      <w:r w:rsidRPr="003B1132" w:rsidR="003B1132">
        <w:rPr>
          <w:bCs/>
          <w:sz w:val="20"/>
          <w:szCs w:val="20"/>
        </w:rPr>
        <w:instrText>MERGEFIELD endTime \@ "MM/dd/yyyy"</w:instrText>
      </w:r>
      <w:r w:rsidR="003B1132">
        <w:rPr>
          <w:sz w:val="20"/>
          <w:szCs w:val="20"/>
        </w:rPr>
        <w:instrText xml:space="preserve"> </w:instrText>
      </w:r>
      <w:r w:rsidR="003B1132">
        <w:rPr>
          <w:sz w:val="20"/>
          <w:szCs w:val="20"/>
        </w:rPr>
        <w:fldChar w:fldCharType="separate"/>
      </w:r>
      <w:r w:rsidR="003B1132">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b/>
          <w:bCs/>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rsidR="00A05FB6" w:rsidRPr="00E2190B"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rsidR="00A05FB6" w:rsidRPr="00E2190B"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2A14D6"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RPr="00FC176E"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2A14D6">
      <w:pPr>
        <w:ind w:left="-810"/>
        <w:rPr>
          <w:rFonts w:ascii="Arial" w:eastAsia="Gulim" w:hAnsi="Arial" w:cs="Arial"/>
          <w:sz w:val="20"/>
          <w:szCs w:val="20"/>
        </w:rPr>
      </w:pPr>
    </w:p>
    <w:p w:rsidR="002A14D6"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F162A8">
      <w:pPr>
        <w:ind w:left="-810"/>
        <w:rPr>
          <w:rFonts w:ascii="Arial" w:eastAsia="Gulim" w:hAnsi="Arial" w:cs="Arial"/>
          <w:sz w:val="20"/>
          <w:szCs w:val="20"/>
        </w:rPr>
      </w:pPr>
    </w:p>
    <w:p w:rsidR="00F162A8" w:rsidRPr="00F162A8"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162A8">
        <w:rPr>
          <w:sz w:val="20"/>
          <w:szCs w:val="20"/>
        </w:rPr>
        <w:fldChar w:fldCharType="begin"/>
      </w:r>
      <w:r w:rsidRPr="00F162A8">
        <w:rPr>
          <w:sz w:val="20"/>
          <w:szCs w:val="20"/>
        </w:rPr>
        <w:instrText xml:space="preserve"> IF </w:instrText>
      </w:r>
      <w:r w:rsidRPr="00F162A8">
        <w:rPr>
          <w:sz w:val="20"/>
          <w:szCs w:val="20"/>
        </w:rPr>
        <w:instrText>0.00</w:instrText>
      </w:r>
      <w:r w:rsidRPr="00F162A8">
        <w:rPr>
          <w:sz w:val="20"/>
          <w:szCs w:val="20"/>
        </w:rPr>
        <w:instrText xml:space="preserve"> &gt; 0 "</w:instrText>
      </w:r>
    </w:p>
    <w:p w:rsidR="00F162A8" w:rsidRPr="00F162A8" w:rsidP="00F162A8">
      <w:pPr>
        <w:pStyle w:val="BodyText"/>
        <w:ind w:left="-810"/>
        <w:rPr>
          <w:sz w:val="20"/>
          <w:szCs w:val="20"/>
        </w:rPr>
      </w:pPr>
    </w:p>
    <w:p w:rsidR="00A05FB6" w:rsidRPr="00E2190B" w:rsidP="00F162A8">
      <w:pPr>
        <w:pStyle w:val="BodyText"/>
        <w:ind w:left="-810"/>
        <w:rPr>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separate"/>
      </w:r>
      <w:r w:rsidRPr="00F162A8">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t>Designation:</w:t>
      </w:r>
      <w:r w:rsidRPr="00E2190B">
        <w:rPr>
          <w:rFonts w:eastAsiaTheme="minorEastAsia"/>
          <w:noProof/>
          <w:spacing w:val="2"/>
          <w:sz w:val="28"/>
          <w:szCs w:val="28"/>
        </w:rPr>
        <w:t xml:space="preserve"> </w:t>
      </w:r>
    </w:p>
    <w:p w:rsidR="00A05FB6" w:rsidRPr="00E2190B" w:rsidP="00A05FB6">
      <w:pPr>
        <w:pStyle w:val="BodyText"/>
        <w:ind w:left="-810"/>
        <w:rPr>
          <w:sz w:val="20"/>
          <w:szCs w:val="20"/>
        </w:rPr>
      </w:pPr>
    </w:p>
    <w:p w:rsidRPr="00E2190B" w:rsidP="00A05FB6">
      <w:pPr>
        <w:pStyle w:val="BodyText"/>
        <w:ind w:left="-810"/>
        <w:rPr>
          <w:sz w:val="20"/>
          <w:szCs w:val="20"/>
        </w:rPr>
      </w:pPr>
      <w:r w:rsidRPr="00E2190B">
        <w:rPr>
          <w:sz w:val="20"/>
          <w:szCs w:val="20"/>
        </w:rPr>
        <w:t xml:space="preserve">This activity has been approved for </w:t>
      </w:r>
      <w:r w:rsidRPr="00E2190B">
        <w:rPr>
          <w:sz w:val="20"/>
          <w:szCs w:val="20"/>
        </w:rPr>
        <w:t>1.00</w:t>
      </w:r>
      <w:r w:rsidRPr="00E2190B">
        <w:rPr>
          <w:sz w:val="20"/>
          <w:szCs w:val="20"/>
        </w:rPr>
        <w:t xml:space="preserve"> continuing pharmacy education credits under the UAN #: </w:t>
      </w:r>
      <w:r w:rsidRPr="00E2190B">
        <w:rPr>
          <w:sz w:val="20"/>
          <w:szCs w:val="20"/>
        </w:rPr>
        <w:t xml:space="preserve">Pharmacist UAN : </w:t>
      </w:r>
      <w:r w:rsidRPr="00E2190B">
        <w:rPr>
          <w:sz w:val="20"/>
          <w:szCs w:val="20"/>
        </w:rPr>
        <w:t>JA0000302-0000-25-002-L99-P</w:t>
      </w:r>
      <w:r w:rsidRPr="00E2190B">
        <w:rPr>
          <w:sz w:val="20"/>
          <w:szCs w:val="20"/>
        </w:rPr>
        <w:t xml:space="preserve">Pharmacy Technician UAN: </w:t>
      </w:r>
      <w:r w:rsidRPr="00E2190B">
        <w:rPr>
          <w:sz w:val="20"/>
          <w:szCs w:val="20"/>
        </w:rPr>
        <w:t>JA0000302-0000-25-002-L99-T</w:t>
      </w:r>
      <w:r w:rsidRPr="00E2190B">
        <w:rPr>
          <w:sz w:val="20"/>
          <w:szCs w:val="20"/>
        </w:rPr>
        <w:t>. Credits will be reported to CPEMonitor(R) within 45 days.</w:t>
      </w:r>
      <w:r w:rsidRPr="00E2190B" w:rsidR="00A05FB6">
        <w:rPr>
          <w:sz w:val="20"/>
          <w:szCs w:val="20"/>
        </w:rPr>
        <w:fldChar w:fldCharType="end"/>
      </w:r>
    </w:p>
    <w:p w:rsidR="00A05FB6" w:rsidRPr="00E2190B" w:rsidP="00A05FB6">
      <w:pPr>
        <w:pStyle w:val="BodyText"/>
        <w:ind w:left="-810"/>
        <w:rPr>
          <w:sz w:val="20"/>
          <w:szCs w:val="20"/>
        </w:rPr>
      </w:pPr>
    </w:p>
    <w:p w:rsidR="00470E9B" w:rsidRPr="00E2190B"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w:instrText>
      </w:r>
      <w:r w:rsidRPr="00E2190B">
        <w:rPr>
          <w:rFonts w:ascii="Arial" w:hAnsi="Arial" w:cs="Arial"/>
          <w:sz w:val="20"/>
          <w:szCs w:val="20"/>
        </w:rPr>
        <w:instrText>1.00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Pr>
          <w:rFonts w:ascii="Arial" w:hAnsi="Arial" w:cs="Arial"/>
          <w:sz w:val="20"/>
          <w:szCs w:val="20"/>
        </w:rPr>
        <w:instrText xml:space="preserve"> </w:instrText>
      </w:r>
      <w:r w:rsidRPr="00E2190B">
        <w:rPr>
          <w:rFonts w:ascii="Arial" w:hAnsi="Arial" w:cs="Arial"/>
          <w:sz w:val="20"/>
          <w:szCs w:val="20"/>
        </w:rPr>
        <w:fldChar w:fldCharType="separate"/>
      </w:r>
      <w:r w:rsidRPr="00E2190B">
        <w:rPr>
          <w:rFonts w:ascii="Arial" w:hAnsi="Arial" w:cs="Arial"/>
          <w:sz w:val="20"/>
          <w:szCs w:val="20"/>
        </w:rPr>
        <w:instrText>1</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instrText>1.00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separate"/>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GeriatricHoursMax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requirement under California Assembly Bill 1820, Geriatric Medicine."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Pain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NursePharmHoursMax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Pharmacotherapeutic credits towards meeting the requirement for nursing pharmacology continuing education."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Schedule2HoursMax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on Schedule II Drugs and Addiction for terminally ill and dying patients.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BA01C9" w:rsidRPr="005B1A96"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separate"/>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w:instrText>
      </w:r>
      <w:r w:rsidRPr="005B1A96">
        <w:rPr>
          <w:sz w:val="20"/>
          <w:szCs w:val="20"/>
        </w:rPr>
        <w:fldChar w:fldCharType="separate"/>
      </w:r>
      <w:r w:rsidRPr="005B1A96">
        <w:rPr>
          <w:sz w:val="20"/>
          <w:szCs w:val="20"/>
        </w:rPr>
        <w:instrText>0</w:instrText>
      </w:r>
      <w:r w:rsidRPr="005B1A96">
        <w:rPr>
          <w:sz w:val="20"/>
          <w:szCs w:val="20"/>
        </w:rPr>
        <w:fldChar w:fldCharType="end"/>
      </w:r>
      <w:r w:rsidRPr="005B1A96">
        <w:rPr>
          <w:sz w:val="20"/>
          <w:szCs w:val="20"/>
        </w:rPr>
        <w:instrText xml:space="preserve"> &gt; 0 "</w:instrText>
      </w:r>
    </w:p>
    <w:p w:rsidR="00BA01C9" w:rsidRPr="005B1A96" w:rsidP="00BA01C9">
      <w:pPr>
        <w:pStyle w:val="BodyText"/>
        <w:ind w:left="-810"/>
        <w:rPr>
          <w:sz w:val="20"/>
          <w:szCs w:val="20"/>
        </w:rPr>
      </w:pPr>
    </w:p>
    <w:p w:rsidR="00BA01C9" w:rsidRPr="005B1A96"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rsidR="00470E9B" w:rsidRPr="00E2190B"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separate"/>
      </w:r>
      <w:r w:rsidRPr="005B1A96">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rsidR="00470E9B" w:rsidRPr="00E2190B"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rsidR="00A05FB6" w:rsidRPr="00E2190B" w:rsidP="00470E9B">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t>Additional Credit Information:</w:t>
      </w:r>
      <w:r w:rsidRPr="00E2190B">
        <w:rPr>
          <w:rFonts w:eastAsiaTheme="minorEastAsia"/>
          <w:color w:val="00A5B4"/>
          <w:spacing w:val="2"/>
          <w:sz w:val="32"/>
          <w:szCs w:val="32"/>
          <w:lang w:bidi="en-US"/>
        </w:rPr>
        <w:t xml:space="preserve"> </w:t>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t>Pharmacists and Pharmacy Technicians:</w:t>
      </w:r>
      <w:r w:rsidRPr="00E2190B">
        <w:rPr>
          <w:sz w:val="20"/>
          <w:szCs w:val="20"/>
        </w:rPr>
        <w: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w:t>
      </w:r>
      <w:r w:rsidRPr="00E2190B">
        <w:rPr>
          <w:sz w:val="20"/>
          <w:szCs w:val="20"/>
        </w:rPr>
        <w:fldChar w:fldCharType="end"/>
      </w:r>
    </w:p>
    <w:p w:rsidR="000E5DCE" w:rsidRPr="00E2190B" w:rsidP="00A05FB6">
      <w:pPr>
        <w:pStyle w:val="Subhead"/>
        <w:spacing w:before="0" w:after="0"/>
        <w:ind w:left="-810"/>
        <w:rPr>
          <w:rFonts w:ascii="Arial" w:hAnsi="Arial" w:cs="Arial"/>
          <w:color w:val="auto"/>
          <w:sz w:val="20"/>
          <w:szCs w:val="20"/>
        </w:rPr>
      </w:pPr>
    </w:p>
    <w:p w:rsidR="000E5DCE" w:rsidRPr="00E2190B" w:rsidP="006D16BE">
      <w:pPr>
        <w:ind w:left="-810"/>
        <w:rPr>
          <w:rFonts w:ascii="Arial" w:hAnsi="Arial" w:cs="Arial"/>
        </w:rPr>
      </w:pPr>
    </w:p>
    <w:p w:rsidR="00AB14FC" w:rsidRPr="00E2190B"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rsidR="006F1E16" w:rsidRPr="00E2190B"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r w:rsidRPr="00E2190B">
        <w:rPr>
          <w:rFonts w:ascii="Arial" w:hAnsi="Arial" w:cs="Arial"/>
          <w:noProof/>
          <w:color w:val="auto"/>
          <w:sz w:val="20"/>
          <w:szCs w:val="20"/>
        </w:rPr>
        <w:t>.</w:t>
      </w:r>
    </w:p>
    <w:p w:rsidR="006F1E16" w:rsidRPr="00E2190B"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sidR="00E2190B">
        <w:rPr>
          <w:rFonts w:ascii="Arial" w:hAnsi="Arial" w:cs="Arial"/>
          <w:color w:val="00A5B4"/>
          <w:spacing w:val="2"/>
          <w:lang w:val="en-US" w:bidi="en-US"/>
        </w:rPr>
        <w:t>:</w:t>
      </w:r>
    </w:p>
    <w:p w:rsidR="005B17B6" w:rsidRPr="00E2190B" w:rsidP="00E2190B">
      <w:pPr>
        <w:pStyle w:val="Subhead"/>
        <w:tabs>
          <w:tab w:val="left" w:pos="2210"/>
        </w:tabs>
        <w:spacing w:before="0" w:after="120"/>
        <w:ind w:left="-806"/>
        <w:rPr>
          <w:rFonts w:ascii="Arial" w:hAnsi="Arial" w:cs="Arial"/>
          <w:noProof/>
          <w:color w:val="auto"/>
          <w:sz w:val="20"/>
          <w:szCs w:val="20"/>
        </w:rPr>
      </w:pPr>
      <w:r w:rsidRPr="00E2190B">
        <w:rPr>
          <w:rFonts w:ascii="Arial" w:hAnsi="Arial" w:cs="Arial"/>
          <w:color w:val="auto"/>
          <w:spacing w:val="2"/>
          <w:sz w:val="20"/>
          <w:szCs w:val="20"/>
          <w:lang w:val="en-US"/>
        </w:rPr>
        <w:t>Feedback person for this educational activity is: &lt;PlannerEmail&gt;</w:t>
      </w:r>
    </w:p>
    <w:p w:rsidR="000B2FA7" w:rsidRPr="00E2190B"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Acknowledgement of Commercial Support:</w:t>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IF </w:instrText>
      </w:r>
      <w:r w:rsidRPr="00E2190B">
        <w:rPr>
          <w:rFonts w:ascii="Arial" w:hAnsi="Arial" w:cs="Arial"/>
          <w:noProof/>
          <w:color w:val="auto"/>
          <w:sz w:val="20"/>
          <w:szCs w:val="20"/>
        </w:rPr>
        <w:instrText>"</w:instrText>
      </w:r>
      <w:r w:rsidRPr="00E2190B">
        <w:rPr>
          <w:rFonts w:ascii="Arial" w:hAnsi="Arial" w:cs="Arial"/>
          <w:noProof/>
          <w:color w:val="auto"/>
          <w:sz w:val="20"/>
          <w:szCs w:val="20"/>
        </w:rPr>
        <w:instrText>"</w:instrText>
      </w:r>
      <w:r w:rsidRPr="00E2190B">
        <w:rPr>
          <w:rFonts w:ascii="Arial" w:hAnsi="Arial" w:cs="Arial"/>
          <w:noProof/>
          <w:color w:val="auto"/>
          <w:sz w:val="20"/>
          <w:szCs w:val="20"/>
          <w:lang w:val="en-US"/>
        </w:rPr>
        <w:instrText xml:space="preserve"> &lt;&gt; "" "</w:instrTex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MERGEFIELD CommercialSupport </w:instrText>
      </w:r>
      <w:r w:rsidRPr="00E2190B">
        <w:rPr>
          <w:rFonts w:ascii="Arial" w:hAnsi="Arial" w:cs="Arial"/>
          <w:noProof/>
          <w:color w:val="auto"/>
          <w:sz w:val="20"/>
          <w:szCs w:val="20"/>
          <w:lang w:val="en-US"/>
        </w:rPr>
        <w:fldChar w:fldCharType="separate"/>
      </w:r>
      <w:r w:rsidR="00F162A8">
        <w:rPr>
          <w:rFonts w:ascii="Arial" w:hAnsi="Arial" w:cs="Arial"/>
          <w:noProof/>
          <w:color w:val="auto"/>
          <w:sz w:val="20"/>
          <w:szCs w:val="20"/>
          <w:lang w:val="en-US"/>
        </w:rPr>
        <w:instrText>«CommercialSupport»</w:instrText>
      </w:r>
      <w:r w:rsidRPr="00E2190B">
        <w:rPr>
          <w:rFonts w:ascii="Arial" w:hAnsi="Arial" w:cs="Arial"/>
          <w:noProof/>
          <w:color w:val="auto"/>
          <w:sz w:val="20"/>
          <w:szCs w:val="20"/>
        </w:rPr>
        <w:fldChar w:fldCharType="end"/>
      </w:r>
      <w:r w:rsidRPr="00E2190B">
        <w:rPr>
          <w:rFonts w:ascii="Arial" w:hAnsi="Arial" w:cs="Arial"/>
          <w:noProof/>
          <w:color w:val="auto"/>
          <w:sz w:val="20"/>
          <w:szCs w:val="20"/>
          <w:lang w:val="en-US"/>
        </w:rPr>
        <w:instrText xml:space="preserve">" "This activity is not commercially supported." </w:instrText>
      </w:r>
      <w:r w:rsidRPr="00E2190B">
        <w:rPr>
          <w:rFonts w:ascii="Arial" w:hAnsi="Arial" w:cs="Arial"/>
          <w:noProof/>
          <w:color w:val="auto"/>
          <w:sz w:val="20"/>
          <w:szCs w:val="20"/>
          <w:lang w:val="en-US"/>
        </w:rPr>
        <w:fldChar w:fldCharType="separate"/>
      </w:r>
      <w:r w:rsidRPr="00E2190B">
        <w:rPr>
          <w:rFonts w:ascii="Arial" w:hAnsi="Arial" w:cs="Arial"/>
          <w:noProof/>
          <w:color w:val="auto"/>
          <w:sz w:val="20"/>
          <w:szCs w:val="20"/>
          <w:lang w:val="en-US"/>
        </w:rPr>
        <w:t>This activity is not commercially supported.</w:t>
      </w:r>
      <w:r w:rsidRPr="00E2190B">
        <w:rPr>
          <w:rFonts w:ascii="Arial" w:hAnsi="Arial" w:cs="Arial"/>
          <w:noProof/>
          <w:color w:val="auto"/>
          <w:sz w:val="20"/>
          <w:szCs w:val="20"/>
        </w:rPr>
        <w:fldChar w:fldCharType="end"/>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p>
    <w:p w:rsidR="005B17B6" w:rsidRPr="00E2190B" w:rsidP="006A2D8F">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Exhibitors:</w:t>
      </w:r>
    </w:p>
    <w:p w:rsidR="006A2D8F" w:rsidRPr="00E2190B" w:rsidP="006A2D8F">
      <w:pPr>
        <w:pStyle w:val="Subhead"/>
        <w:tabs>
          <w:tab w:val="left" w:pos="2210"/>
        </w:tabs>
        <w:spacing w:before="120" w:after="120"/>
        <w:ind w:left="-806"/>
        <w:rPr>
          <w:rFonts w:ascii="Arial" w:hAnsi="Arial" w:cs="Arial"/>
          <w:noProof/>
          <w:color w:val="auto"/>
          <w:sz w:val="20"/>
          <w:szCs w:val="20"/>
        </w:rPr>
      </w:pPr>
      <w:r w:rsidRPr="00E2190B">
        <w:rPr>
          <w:rFonts w:ascii="Arial" w:hAnsi="Arial" w:cs="Arial"/>
          <w:noProof/>
          <w:color w:val="auto"/>
          <w:sz w:val="20"/>
          <w:szCs w:val="20"/>
        </w:rPr>
        <w:t>&lt;Exhibiting Companies&gt;</w:t>
      </w:r>
    </w:p>
    <w:p w:rsidR="00AD0E66" w:rsidRPr="00E2190B" w:rsidP="006A2D8F">
      <w:pPr>
        <w:pStyle w:val="Subhead"/>
        <w:tabs>
          <w:tab w:val="left" w:pos="2210"/>
        </w:tabs>
        <w:spacing w:before="120" w:after="120"/>
        <w:ind w:left="-806"/>
        <w:rPr>
          <w:rFonts w:ascii="Arial" w:hAnsi="Arial" w:cs="Arial"/>
          <w:noProof/>
          <w:color w:val="auto"/>
          <w:sz w:val="20"/>
          <w:szCs w:val="20"/>
        </w:rPr>
      </w:pPr>
    </w:p>
    <w:p w:rsidR="005B17B6" w:rsidRPr="00E2190B"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p w:rsidR="00AD0E66" w:rsidRPr="00E2190B" w:rsidP="00AD0E66">
      <w:pPr>
        <w:pStyle w:val="Subhead"/>
        <w:tabs>
          <w:tab w:val="left" w:pos="2210"/>
        </w:tabs>
        <w:spacing w:before="120" w:after="0"/>
        <w:ind w:left="-806"/>
        <w:rPr>
          <w:rFonts w:ascii="Arial" w:hAnsi="Arial" w:cs="Arial"/>
          <w:noProof/>
          <w:color w:val="auto"/>
          <w:sz w:val="20"/>
          <w:szCs w:val="20"/>
        </w:rPr>
      </w:pPr>
    </w:p>
    <w:p w:rsidR="00AD0E66" w:rsidRPr="00E2190B" w:rsidP="00AD0E66">
      <w:pPr>
        <w:pStyle w:val="Subhead"/>
        <w:tabs>
          <w:tab w:val="left" w:pos="2210"/>
        </w:tabs>
        <w:spacing w:before="120" w:after="0"/>
        <w:ind w:left="-806"/>
        <w:rPr>
          <w:rFonts w:ascii="Arial" w:hAnsi="Arial" w:cs="Arial"/>
          <w:noProof/>
          <w:color w:val="auto"/>
          <w:sz w:val="20"/>
          <w:szCs w:val="20"/>
        </w:rPr>
      </w:pPr>
    </w:p>
    <w:p w:rsidR="00AB14FC" w:rsidRPr="00E2190B"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t>Disclosures:</w:t>
      </w:r>
      <w:r w:rsidRPr="00E2190B">
        <w:rPr>
          <w:rFonts w:ascii="Arial" w:hAnsi="Arial" w:cs="Arial"/>
          <w:color w:val="auto"/>
        </w:rPr>
        <w:tab/>
      </w:r>
    </w:p>
    <w:p w:rsidR="00AB14FC" w:rsidRPr="00E2190B" w:rsidP="00E2190B">
      <w:pPr>
        <w:pStyle w:val="Mainbodycopy"/>
        <w:spacing w:before="120" w:after="120" w:line="240" w:lineRule="auto"/>
        <w:ind w:left="-806"/>
        <w:rPr>
          <w:rFonts w:cs="Arial"/>
          <w:color w:val="auto"/>
          <w:lang w:val="en-US"/>
        </w:rPr>
      </w:pPr>
      <w:r w:rsidRPr="00E2190B">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rsidR="00AB14FC" w:rsidRPr="00E2190B" w:rsidP="00AB14FC">
      <w:pPr>
        <w:pStyle w:val="Mainbodycopy"/>
        <w:spacing w:after="120" w:line="240" w:lineRule="auto"/>
        <w:ind w:left="-806"/>
        <w:rPr>
          <w:rFonts w:cs="Arial"/>
          <w:color w:val="auto"/>
          <w:sz w:val="2"/>
          <w:szCs w:val="2"/>
          <w:lang w:val="en-US"/>
        </w:rPr>
      </w:pP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651"/>
        <w:gridCol w:w="2651"/>
        <w:gridCol w:w="3535"/>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Dexter Wimer, PharmD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Activity/Series Coordinator, Course Director, Peer Reviewer, Pharmacy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- 07/23/2025</w:t>
            </w:r>
          </w:p>
        </w:tc>
      </w:tr>
    </w:tbl>
    <w:p w:rsidR="00AB14FC" w:rsidRPr="00E2190B">
      <w:pPr>
        <w:bidi w:val="0"/>
        <w:spacing w:after="280" w:afterAutospacing="1"/>
        <w:rPr>
          <w:rFonts w:cs="Arial"/>
          <w:color w:val="auto"/>
        </w:rPr>
      </w:pP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w:instrText>
      </w:r>
      <w:r w:rsidRPr="00E2190B">
        <w:rPr>
          <w:rFonts w:cs="Arial"/>
          <w:color w:val="auto"/>
        </w:rPr>
        <w:instrText xml:space="preserve"> &lt;&gt; "" "</w:instrText>
      </w:r>
    </w:p>
    <w:p w:rsidR="00AB14FC" w:rsidRPr="00E2190B" w:rsidP="00AB14FC">
      <w:pPr>
        <w:pStyle w:val="Mainbodycopy"/>
        <w:spacing w:after="0" w:line="240" w:lineRule="auto"/>
        <w:ind w:left="-810"/>
        <w:rPr>
          <w:rFonts w:cs="Arial"/>
          <w:color w:val="auto"/>
        </w:rPr>
      </w:pPr>
    </w:p>
    <w:p w:rsidR="00F162A8" w:rsidRPr="00E2190B" w:rsidP="00AB14FC">
      <w:pPr>
        <w:pStyle w:val="Mainbodycopy"/>
        <w:spacing w:after="0" w:line="240" w:lineRule="auto"/>
        <w:ind w:left="-810"/>
        <w:rPr>
          <w:rFonts w:cs="Arial"/>
          <w:noProof/>
          <w:color w:val="auto"/>
        </w:rPr>
      </w:pPr>
      <w:r w:rsidRPr="00E2190B">
        <w:rPr>
          <w:rFonts w:cs="Arial"/>
          <w:color w:val="auto"/>
        </w:rPr>
        <w:fldChar w:fldCharType="begin"/>
      </w:r>
      <w:r w:rsidRPr="00E2190B">
        <w:rPr>
          <w:rFonts w:cs="Arial"/>
          <w:color w:val="auto"/>
        </w:rPr>
        <w:instrText xml:space="preserve"> MERGEFIELD </w:instrText>
      </w:r>
      <w:r w:rsidRPr="00E2190B">
        <w:rPr>
          <w:rFonts w:cs="Arial"/>
          <w:color w:val="auto"/>
          <w:lang w:val="en-US"/>
        </w:rPr>
        <w:instrText>MitigationStatement</w:instrText>
      </w:r>
      <w:r w:rsidRPr="00E2190B">
        <w:rPr>
          <w:rFonts w:cs="Arial"/>
          <w:color w:val="auto"/>
        </w:rPr>
        <w:instrText xml:space="preserve"> </w:instrText>
      </w:r>
      <w:r w:rsidRPr="00E2190B">
        <w:rPr>
          <w:rFonts w:cs="Arial"/>
          <w:color w:val="auto"/>
        </w:rPr>
        <w:fldChar w:fldCharType="separate"/>
      </w:r>
      <w:r>
        <w:rPr>
          <w:rFonts w:cs="Arial"/>
          <w:noProof/>
          <w:color w:val="auto"/>
        </w:rPr>
        <w:instrText>«MitigationStatement»</w:instrText>
      </w:r>
      <w:r w:rsidRPr="00E2190B">
        <w:rPr>
          <w:rFonts w:cs="Arial"/>
          <w:color w:val="auto"/>
        </w:rPr>
        <w:fldChar w:fldCharType="end"/>
      </w: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r w:rsidRPr="00E2190B">
        <w:rPr>
          <w:rFonts w:cs="Arial"/>
          <w:color w:val="auto"/>
          <w:lang w:val="en-US"/>
        </w:rPr>
        <w:t>None of the planners, faculty/presenters, reviewers, and others in control of content (either individually or as a group) for this educational activity have relevant financial relationship(s) to disclose with ineligible companies</w:t>
      </w:r>
      <w:r w:rsidRPr="00E2190B">
        <w:rPr>
          <w:rFonts w:cs="Arial"/>
          <w:b/>
          <w:bCs/>
          <w:color w:val="auto"/>
          <w:lang w:val="en-US"/>
        </w:rPr>
        <w:t>.</w:t>
      </w:r>
      <w:r w:rsidRPr="00E2190B" w:rsidR="00AB14FC">
        <w:rPr>
          <w:rFonts w:cs="Arial"/>
          <w:color w:val="auto"/>
        </w:rPr>
        <w:fldChar w:fldCharType="end"/>
      </w:r>
    </w:p>
    <w:p w:rsidR="00AB14FC" w:rsidRPr="00E2190B" w:rsidP="006D16BE">
      <w:pPr>
        <w:ind w:left="-810"/>
        <w:rPr>
          <w:rFonts w:ascii="Arial" w:hAnsi="Arial" w:cs="Arial"/>
        </w:rPr>
      </w:pPr>
    </w:p>
    <w:p w:rsidR="000E5DCE" w:rsidRPr="00E2190B" w:rsidP="006D16BE">
      <w:pPr>
        <w:rPr>
          <w:rFonts w:ascii="Arial" w:hAnsi="Arial" w:cs="Arial"/>
        </w:rPr>
      </w:pPr>
    </w:p>
    <w:p w:rsidR="00AD0E66" w:rsidRPr="00E2190B"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sidR="00E2190B">
        <w:rPr>
          <w:rFonts w:ascii="Arial" w:hAnsi="Arial" w:cs="Arial"/>
          <w:color w:val="00A5B4"/>
          <w:spacing w:val="2"/>
          <w:lang w:val="en-US" w:bidi="en-US"/>
        </w:rPr>
        <w:t>:</w:t>
      </w:r>
    </w:p>
    <w:p w:rsidR="00AD0E66" w:rsidRPr="00E2190B"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rsidR="00AD0E66" w:rsidRPr="00E2190B"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r w:rsidRPr="00E2190B" w:rsidR="00E2190B">
        <w:rPr>
          <w:rFonts w:ascii="Arial" w:hAnsi="Arial" w:cs="Arial"/>
          <w:color w:val="00A5B4"/>
          <w:spacing w:val="2"/>
          <w:lang w:val="en-US" w:bidi="en-US"/>
        </w:rPr>
        <w:t>:</w:t>
      </w:r>
    </w:p>
    <w:p w:rsidR="00AD0E66" w:rsidRPr="00E2190B" w:rsidP="00AD0E66">
      <w:pPr>
        <w:pStyle w:val="Mainbodycopy"/>
        <w:ind w:left="-810"/>
        <w:rPr>
          <w:rFonts w:cs="Arial"/>
          <w:color w:val="auto"/>
          <w:lang w:val="en-US"/>
        </w:rPr>
      </w:pPr>
      <w:r w:rsidRPr="00E2190B">
        <w:rPr>
          <w:rFonts w:cs="Arial"/>
          <w:color w:val="auto"/>
          <w:lang w:val="en-US"/>
        </w:rPr>
        <w:t>I.</w:t>
      </w:r>
      <w:r w:rsidRPr="00E2190B" w:rsidR="00D0795E">
        <w:rPr>
          <w:rFonts w:cs="Arial"/>
          <w:color w:val="auto"/>
          <w:lang w:val="en-US"/>
        </w:rPr>
        <w:t xml:space="preserve"> </w:t>
      </w:r>
      <w:r w:rsidRPr="00E2190B">
        <w:rPr>
          <w:rFonts w:cs="Arial"/>
          <w:color w:val="auto"/>
          <w:lang w:val="en-US"/>
        </w:rPr>
        <w:t>Purpose.</w:t>
      </w:r>
    </w:p>
    <w:p w:rsidR="00AD0E66" w:rsidRPr="00E2190B" w:rsidP="00AD0E66">
      <w:pPr>
        <w:pStyle w:val="Mainbodycopy"/>
        <w:ind w:left="-810"/>
        <w:rPr>
          <w:rFonts w:cs="Arial"/>
          <w:color w:val="auto"/>
          <w:lang w:val="en-US"/>
        </w:rPr>
      </w:pPr>
      <w:r w:rsidRPr="00E2190B">
        <w:rPr>
          <w:rFonts w:cs="Arial"/>
          <w:color w:val="auto"/>
          <w:lang w:val="en-US"/>
        </w:rPr>
        <w:t>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manner in which physicians and healthcare providers render services for disabled, hearing impaired or other protected categories</w:t>
      </w:r>
    </w:p>
    <w:p w:rsidR="00AD0E66" w:rsidRPr="00E2190B" w:rsidP="00AD0E66">
      <w:pPr>
        <w:pStyle w:val="Mainbodycopy"/>
        <w:ind w:left="-810"/>
        <w:rPr>
          <w:rFonts w:cs="Arial"/>
          <w:color w:val="auto"/>
          <w:lang w:val="en-US"/>
        </w:rPr>
      </w:pPr>
      <w:r w:rsidRPr="00E2190B">
        <w:rPr>
          <w:rFonts w:cs="Arial"/>
          <w:color w:val="auto"/>
          <w:lang w:val="en-US"/>
        </w:rPr>
        <w:t>II.</w:t>
      </w:r>
      <w:r w:rsidRPr="00E2190B" w:rsidR="00D0795E">
        <w:rPr>
          <w:rFonts w:cs="Arial"/>
          <w:color w:val="auto"/>
          <w:lang w:val="en-US"/>
        </w:rPr>
        <w:t xml:space="preserve"> </w:t>
      </w:r>
      <w:r w:rsidRPr="00E2190B">
        <w:rPr>
          <w:rFonts w:cs="Arial"/>
          <w:color w:val="auto"/>
          <w:lang w:val="en-US"/>
        </w:rPr>
        <w:t xml:space="preserve">Federal Law – Federal Civil Rights Act of 1964, Executive Order 13166, August 11, 2000, and Department of Health and Human Services (“HHS”) Regulations and LEP Guidance. </w:t>
      </w:r>
    </w:p>
    <w:p w:rsidR="00AD0E66" w:rsidRPr="00E2190B"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w:t>
      </w:r>
      <w:r w:rsidRPr="00E2190B">
        <w:rPr>
          <w:rFonts w:cs="Arial"/>
          <w:color w:val="auto"/>
          <w:lang w:val="en-US"/>
        </w:rPr>
        <w:t>federally funded programs and services may constitute national origin discrimination, which may be remedied by federal agency enforcement action.  Recipients may include physicians, hospitals, universities</w:t>
      </w:r>
      <w:r w:rsidRPr="00E2190B" w:rsidR="00B431F9">
        <w:rPr>
          <w:rFonts w:cs="Arial"/>
          <w:color w:val="auto"/>
          <w:lang w:val="en-US"/>
        </w:rPr>
        <w:t xml:space="preserve"> </w:t>
      </w:r>
      <w:r w:rsidRPr="00E2190B">
        <w:rPr>
          <w:rFonts w:cs="Arial"/>
          <w:color w:val="auto"/>
          <w:lang w:val="en-US"/>
        </w:rPr>
        <w:t xml:space="preserve">and academic medical centers who receive grants, training, equipment, surplus property and other assistance from the federal government. </w:t>
      </w:r>
    </w:p>
    <w:p w:rsidR="00AD0E66" w:rsidRPr="00E2190B"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rsidR="00AD0E66" w:rsidRPr="00E2190B"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rsidR="00AD0E66" w:rsidRPr="00E2190B"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(i) identifying LEP individuals who may need assistance; (ii) identifying language assistance measures; (iii) training staff; (iv) providing notice to LEP persons; and (v) monitoring and updating the LEP plan.</w:t>
      </w:r>
    </w:p>
    <w:p w:rsidR="00AD0E66" w:rsidRPr="00E2190B" w:rsidP="00AD0E66">
      <w:pPr>
        <w:pStyle w:val="Mainbodycopy"/>
        <w:ind w:left="-810"/>
        <w:rPr>
          <w:rFonts w:cs="Arial"/>
          <w:color w:val="auto"/>
          <w:lang w:val="en-US"/>
        </w:rPr>
      </w:pPr>
      <w:r w:rsidRPr="00E2190B">
        <w:rPr>
          <w:rFonts w:cs="Arial"/>
          <w:color w:val="auto"/>
          <w:lang w:val="en-US"/>
        </w:rPr>
        <w:t>A Recipient’s LEP plan likely will include translating vital documents and providing either on-site interpreters or telephone interpreter services, or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rsidR="00AD0E66" w:rsidRPr="00E2190B"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rsidR="00AD0E66" w:rsidRPr="00E2190B" w:rsidP="00AD0E66">
      <w:pPr>
        <w:pStyle w:val="Mainbodycopy"/>
        <w:ind w:left="-810"/>
        <w:rPr>
          <w:rFonts w:cs="Arial"/>
          <w:color w:val="auto"/>
          <w:lang w:val="en-US"/>
        </w:rPr>
      </w:pPr>
      <w:r w:rsidRPr="00E2190B">
        <w:rPr>
          <w:rFonts w:cs="Arial"/>
          <w:color w:val="auto"/>
          <w:lang w:val="en-US"/>
        </w:rPr>
        <w:t>III.</w:t>
      </w:r>
      <w:r w:rsidRPr="00E2190B" w:rsidR="00D0795E">
        <w:rPr>
          <w:rFonts w:cs="Arial"/>
          <w:color w:val="auto"/>
          <w:lang w:val="en-US"/>
        </w:rPr>
        <w:t xml:space="preserve"> </w:t>
      </w:r>
      <w:r w:rsidRPr="00E2190B">
        <w:rPr>
          <w:rFonts w:cs="Arial"/>
          <w:color w:val="auto"/>
          <w:lang w:val="en-US"/>
        </w:rPr>
        <w:t>California Law – Dymally-Alatorre Bilingual Services Act.</w:t>
      </w:r>
    </w:p>
    <w:p w:rsidR="00AD0E66" w:rsidRPr="00E2190B" w:rsidP="00841DF6">
      <w:pPr>
        <w:pStyle w:val="Mainbodycopy"/>
        <w:ind w:left="-810"/>
        <w:rPr>
          <w:rFonts w:cs="Arial"/>
          <w:color w:val="auto"/>
          <w:lang w:val="en-US"/>
        </w:rPr>
      </w:pPr>
      <w:r w:rsidRPr="00E2190B">
        <w:rPr>
          <w:rFonts w:cs="Arial"/>
          <w:color w:val="auto"/>
          <w:lang w:val="en-US"/>
        </w:rPr>
        <w:t>The California legislature enacted the California’s Dymally-Alatorre Bilingual Services Act (Govt. Code 7290 et seq.) in order to ensure that California residents would appropriately receive services from public agencies regardless of the person’s English language skills.   California Government Code section 7291 recites this legislative intent as follows:</w:t>
      </w:r>
    </w:p>
    <w:p w:rsidR="00AD0E66" w:rsidRPr="00E2190B" w:rsidP="00AD0E66">
      <w:pPr>
        <w:pStyle w:val="Mainbodycopy"/>
        <w:spacing w:after="0"/>
        <w:ind w:left="-810"/>
        <w:rPr>
          <w:rFonts w:cs="Arial"/>
          <w:color w:val="auto"/>
          <w:lang w:val="en-US"/>
        </w:rPr>
      </w:pPr>
      <w:r w:rsidRPr="00E2190B">
        <w:rPr>
          <w:rFonts w:cs="Arial"/>
          <w:color w:val="auto"/>
          <w:lang w:val="en-US"/>
        </w:rPr>
        <w:t>“The Legislature hereby finds and declares that the effective maintenance and development of a free and democratic society depends on the right and ability of its citizens and residents to communicate with their government and the right and ability of the government to communicate with them.</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persons requiring their services because of this language barrier. As a consequence, substantial numbers of persons presently are being denied rights and benefits to which they would otherwise be entitled.</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It is the intention of the Legislature in enacting this chapter to provide for effective communication between all levels of government in this state and the people of this state who are precluded from utilizing public services because of language barriers.”</w:t>
      </w:r>
    </w:p>
    <w:p w:rsidR="00AD0E66" w:rsidRPr="00E2190B" w:rsidP="00AD0E66">
      <w:pPr>
        <w:pStyle w:val="Mainbodycopy"/>
        <w:spacing w:after="0"/>
        <w:ind w:left="-810"/>
        <w:rPr>
          <w:rFonts w:cs="Arial"/>
          <w:color w:val="auto"/>
          <w:lang w:val="en-US"/>
        </w:rPr>
      </w:pPr>
    </w:p>
    <w:p w:rsidR="00AD0E66" w:rsidRPr="00E2190B" w:rsidP="00B3007D">
      <w:pPr>
        <w:pStyle w:val="Mainbodycopy"/>
        <w:ind w:left="-810"/>
        <w:rPr>
          <w:rFonts w:cs="Arial"/>
          <w:b/>
          <w:bCs/>
          <w:color w:val="auto"/>
          <w:lang w:val="en-US"/>
        </w:rPr>
        <w:sectPr w:rsidSect="00FC598E">
          <w:headerReference w:type="default" r:id="rId7"/>
          <w:footerReference w:type="even" r:id="rId8"/>
          <w:headerReference w:type="first" r:id="rId9"/>
          <w:pgSz w:w="12240" w:h="15840"/>
          <w:pgMar w:top="-2063" w:right="1440" w:bottom="1437" w:left="1872" w:header="0" w:footer="288" w:gutter="0"/>
          <w:cols w:space="720"/>
          <w:titlePg/>
          <w:docGrid w:linePitch="326"/>
        </w:sectPr>
      </w:pPr>
      <w:r w:rsidRPr="00E2190B">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r>
        <w:fldChar w:fldCharType="begin"/>
      </w:r>
      <w:r>
        <w:instrText xml:space="preserve"> HYPERLINK "http://www.spb.ca.gov/bilingual/dymallyact.htm" </w:instrText>
      </w:r>
      <w:r>
        <w:fldChar w:fldCharType="separate"/>
      </w:r>
      <w:r w:rsidRPr="00E2190B">
        <w:rPr>
          <w:rStyle w:val="Hyperlink"/>
          <w:rFonts w:cs="Arial"/>
          <w:color w:val="auto"/>
          <w:lang w:val="en-US"/>
        </w:rPr>
        <w:t>http://www.spb.ca.gov/bilingual/dymallyact.htm</w:t>
      </w:r>
      <w:r>
        <w:fldChar w:fldCharType="end"/>
      </w:r>
      <w:r w:rsidRPr="00E2190B">
        <w:rPr>
          <w:rFonts w:cs="Arial"/>
          <w:color w:val="auto"/>
          <w:lang w:val="en-US"/>
        </w:rPr>
        <w:t xml:space="preserve"> </w:t>
      </w:r>
    </w:p>
    <w:p w:rsidR="003A41DA" w:rsidRPr="00E2190B" w:rsidP="006D16BE">
      <w:pPr>
        <w:pStyle w:val="Mainbodycopy"/>
        <w:spacing w:after="0" w:line="240" w:lineRule="auto"/>
        <w:ind w:left="0"/>
        <w:rPr>
          <w:rFonts w:cs="Arial"/>
          <w:color w:val="auto"/>
        </w:rPr>
      </w:pPr>
    </w:p>
    <w:sectPr w:rsidSect="003A41DA">
      <w:headerReference w:type="first" r:id="rId10"/>
      <w:footerReference w:type="first" r:id="rId11"/>
      <w:pgSz w:w="12240" w:h="15840"/>
      <w:pgMar w:top="-675" w:right="1440" w:bottom="1437" w:left="1872" w:header="0" w:footer="288"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1266350572"/>
      <w:docPartObj>
        <w:docPartGallery w:val="Page Numbers (Bottom of Page)"/>
        <w:docPartUnique/>
      </w:docPartObj>
    </w:sdtPr>
    <w:sdtContent>
      <w:p w:rsidR="007808CB"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7808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FD7177">
    <w:pPr>
      <w:pStyle w:val="Footer"/>
      <w:spacing w:before="240"/>
      <w:ind w:left="-532" w:right="101" w:hanging="634"/>
      <w:jc w:val="right"/>
      <w:rPr>
        <w:rStyle w:val="PageNumber"/>
      </w:rPr>
    </w:pPr>
  </w:p>
  <w:p w:rsidR="003A41DA" w:rsidP="003A41DA">
    <w:pPr>
      <w:pStyle w:val="Footer"/>
      <w:spacing w:before="36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pPr>
      <w:pStyle w:val="Header"/>
    </w:pPr>
    <w:r>
      <w:rPr>
        <w:noProof/>
      </w:rPr>
      <w:drawing>
        <wp:anchor distT="0" distB="0" distL="114300" distR="114300" simplePos="0" relativeHeight="251659264" behindDoc="1" locked="0" layoutInCell="1" allowOverlap="1">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F0F" w:rsidP="00A529A5">
    <w:pPr>
      <w:pStyle w:val="Header"/>
    </w:pPr>
    <w:r>
      <w:rPr>
        <w:noProof/>
      </w:rPr>
      <w:drawing>
        <wp:anchor distT="0" distB="0" distL="114300" distR="114300" simplePos="0" relativeHeight="251658240" behindDoc="1" locked="0" layoutInCell="1" allowOverlap="1">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A529A5">
    <w:pPr>
      <w:pStyle w:val="Header"/>
    </w:pPr>
    <w:r>
      <w:rPr>
        <w:noProof/>
      </w:rPr>
      <w:drawing>
        <wp:anchor distT="0" distB="0" distL="114300" distR="114300" simplePos="0" relativeHeight="251660288" behindDoc="1" locked="0" layoutInCell="1" allowOverlap="1">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xmlns:r="http://schemas.openxmlformats.org/officeDocument/2006/relationships"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16CE390"/>
    <w:lvl w:ilvl="0">
      <w:start w:val="1"/>
      <w:numFmt w:val="decimal"/>
      <w:lvlText w:val="%1."/>
      <w:lvlJc w:val="left"/>
      <w:pPr>
        <w:tabs>
          <w:tab w:val="num" w:pos="1800"/>
        </w:tabs>
        <w:ind w:left="1800" w:hanging="360"/>
      </w:pPr>
    </w:lvl>
  </w:abstractNum>
  <w:abstractNum w:abstractNumId="1">
    <w:nsid w:val="FFFFFF7D"/>
    <w:multiLevelType w:val="singleLevel"/>
    <w:tmpl w:val="B8BA4B2E"/>
    <w:lvl w:ilvl="0">
      <w:start w:val="1"/>
      <w:numFmt w:val="decimal"/>
      <w:lvlText w:val="%1."/>
      <w:lvlJc w:val="left"/>
      <w:pPr>
        <w:tabs>
          <w:tab w:val="num" w:pos="1440"/>
        </w:tabs>
        <w:ind w:left="1440" w:hanging="360"/>
      </w:pPr>
    </w:lvl>
  </w:abstractNum>
  <w:abstractNum w:abstractNumId="2">
    <w:nsid w:val="FFFFFF7E"/>
    <w:multiLevelType w:val="singleLevel"/>
    <w:tmpl w:val="9BB8603A"/>
    <w:lvl w:ilvl="0">
      <w:start w:val="1"/>
      <w:numFmt w:val="decimal"/>
      <w:lvlText w:val="%1."/>
      <w:lvlJc w:val="left"/>
      <w:pPr>
        <w:tabs>
          <w:tab w:val="num" w:pos="1080"/>
        </w:tabs>
        <w:ind w:left="1080" w:hanging="360"/>
      </w:pPr>
    </w:lvl>
  </w:abstractNum>
  <w:abstractNum w:abstractNumId="3">
    <w:nsid w:val="FFFFFF7F"/>
    <w:multiLevelType w:val="singleLevel"/>
    <w:tmpl w:val="2FEA74CC"/>
    <w:lvl w:ilvl="0">
      <w:start w:val="1"/>
      <w:numFmt w:val="decimal"/>
      <w:lvlText w:val="%1."/>
      <w:lvlJc w:val="left"/>
      <w:pPr>
        <w:tabs>
          <w:tab w:val="num" w:pos="720"/>
        </w:tabs>
        <w:ind w:left="720" w:hanging="360"/>
      </w:pPr>
    </w:lvl>
  </w:abstractNum>
  <w:abstractNum w:abstractNumId="4">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AA958E"/>
    <w:lvl w:ilvl="0">
      <w:start w:val="1"/>
      <w:numFmt w:val="decimal"/>
      <w:lvlText w:val="%1."/>
      <w:lvlJc w:val="left"/>
      <w:pPr>
        <w:tabs>
          <w:tab w:val="num" w:pos="360"/>
        </w:tabs>
        <w:ind w:left="360" w:hanging="360"/>
      </w:pPr>
    </w:lvl>
  </w:abstractNum>
  <w:abstractNum w:abstractNumId="9">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nsid w:val="00D648F2"/>
    <w:multiLevelType w:val="hybridMultilevel"/>
    <w:tmpl w:val="4FAE19E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2791564"/>
    <w:multiLevelType w:val="hybridMultilevel"/>
    <w:tmpl w:val="99C22B36"/>
    <w:lvl w:ilvl="0">
      <w:start w:val="1"/>
      <w:numFmt w:val="bullet"/>
      <w:pStyle w:val="Bullets"/>
      <w:lvlText w:val=""/>
      <w:lvlJc w:val="left"/>
      <w:pPr>
        <w:ind w:left="504" w:hanging="216"/>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46C741F"/>
    <w:multiLevelType w:val="hybridMultilevel"/>
    <w:tmpl w:val="40100A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2BE6765"/>
    <w:multiLevelType w:val="hybridMultilevel"/>
    <w:tmpl w:val="3044059E"/>
    <w:lvl w:ilvl="0">
      <w:start w:val="1"/>
      <w:numFmt w:val="decimal"/>
      <w:pStyle w:val="NumberedAgenda"/>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A3D7C67"/>
    <w:multiLevelType w:val="hybridMultilevel"/>
    <w:tmpl w:val="7DE0A0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1EA6C94"/>
    <w:multiLevelType w:val="hybridMultilevel"/>
    <w:tmpl w:val="5BC4F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2"/>
  </w:num>
  <w:num w:numId="14">
    <w:abstractNumId w:val="13"/>
  </w:num>
  <w:num w:numId="15">
    <w:abstractNumId w:val="11"/>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embedSystemFonts/>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oNotTrackMove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
    <w:name w:val="Grid Table 1 Light"/>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
    <w:name w:val="Unresolved Mention"/>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hAnsi="Arial" w:eastAsiaTheme="minorHAnsi" w:cs="Arial"/>
      <w:color w:val="58585B"/>
      <w:sz w:val="20"/>
      <w:szCs w:val="20"/>
    </w:rPr>
  </w:style>
  <w:style w:type="paragraph" w:customStyle="1" w:styleId="AgendaInfo">
    <w:name w:val="Agenda Info"/>
    <w:basedOn w:val="Normal"/>
    <w:rsid w:val="000E5DCE"/>
    <w:pPr>
      <w:widowControl/>
      <w:adjustRightInd w:val="0"/>
      <w:ind w:left="1440"/>
    </w:pPr>
    <w:rPr>
      <w:rFonts w:ascii="Garamond" w:hAnsi="Garamond" w:eastAsiaTheme="minorHAnsi" w:cs="Arial"/>
      <w:color w:val="5858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5.png" /></Relationships>
</file>

<file path=word/_rels/settings.xml.rels>&#65279;<?xml version="1.0" encoding="utf-8" standalone="yes"?><Relationships xmlns="http://schemas.openxmlformats.org/package/2006/relationships"><Relationship Id="rId1" Type="http://schemas.openxmlformats.org/officeDocument/2006/relationships/attachedTemplate" Target="/Users/mukeshpatil/Documents/InnWorks/Strories Done/UCSF/Certificates Flyers/Final/Flyer/From client/403200_OCME_Flyer.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403200_OCME_Flyer.dotx</Template>
  <TotalTime>186</TotalTime>
  <Pages>6</Pages>
  <Words>7490</Words>
  <Characters>42699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Tejaswini Patil</cp:lastModifiedBy>
  <cp:revision>42</cp:revision>
  <cp:lastPrinted>2021-02-19T20:10:00Z</cp:lastPrinted>
  <dcterms:created xsi:type="dcterms:W3CDTF">2025-04-23T19:25:00Z</dcterms:created>
  <dcterms:modified xsi:type="dcterms:W3CDTF">2025-05-27T19:11:00Z</dcterms:modified>
</cp:coreProperties>
</file>